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DocumentFor"/>
      <w:bookmarkEnd w:id="0"/>
      <w:bookmarkStart w:id="1" w:name="Title"/>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29bis</w:t>
      </w:r>
      <w:r>
        <w:rPr>
          <w:b/>
          <w:sz w:val="20"/>
          <w:szCs w:val="20"/>
        </w:rPr>
        <w:tab/>
      </w:r>
      <w:r>
        <w:rPr>
          <w:rFonts w:hint="eastAsia"/>
          <w:b/>
          <w:sz w:val="20"/>
          <w:szCs w:val="20"/>
        </w:rPr>
        <w:t>R2-2502703</w:t>
      </w:r>
      <w:bookmarkStart w:id="18" w:name="_GoBack"/>
      <w:bookmarkEnd w:id="18"/>
    </w:p>
    <w:p>
      <w:pPr>
        <w:pStyle w:val="56"/>
        <w:jc w:val="left"/>
        <w:rPr>
          <w:rFonts w:hint="eastAsia" w:cs="Arial"/>
          <w:sz w:val="20"/>
          <w:szCs w:val="20"/>
        </w:rPr>
      </w:pPr>
      <w:r>
        <w:rPr>
          <w:rFonts w:hint="eastAsia" w:cs="Arial"/>
          <w:sz w:val="20"/>
          <w:szCs w:val="20"/>
        </w:rPr>
        <w:t>Wuhan, China, Apr. 7</w:t>
      </w:r>
      <w:r>
        <w:rPr>
          <w:rFonts w:hint="eastAsia" w:cs="Arial"/>
          <w:sz w:val="20"/>
          <w:szCs w:val="20"/>
          <w:vertAlign w:val="superscript"/>
        </w:rPr>
        <w:t>t</w:t>
      </w:r>
      <w:r>
        <w:rPr>
          <w:rFonts w:hint="eastAsia" w:cs="Arial"/>
          <w:sz w:val="20"/>
          <w:szCs w:val="20"/>
        </w:rPr>
        <w:t>h – 11</w:t>
      </w:r>
      <w:r>
        <w:rPr>
          <w:rFonts w:hint="eastAsia" w:cs="Arial"/>
          <w:sz w:val="20"/>
          <w:szCs w:val="20"/>
          <w:vertAlign w:val="superscript"/>
        </w:rPr>
        <w:t>th</w:t>
      </w:r>
      <w:r>
        <w:rPr>
          <w:rFonts w:hint="eastAsia" w:cs="Arial"/>
          <w:sz w:val="20"/>
          <w:szCs w:val="20"/>
        </w:rPr>
        <w:t xml:space="preserve"> ,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8.17</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Support</w:t>
      </w:r>
      <w:r>
        <w:rPr>
          <w:rFonts w:hint="eastAsia" w:cs="Arial" w:eastAsiaTheme="minorEastAsia"/>
          <w:sz w:val="20"/>
          <w:szCs w:val="20"/>
          <w:lang w:val="en-US" w:eastAsia="zh-CN"/>
        </w:rPr>
        <w:t xml:space="preserve"> of IoT-NTN TDD mode</w:t>
      </w:r>
    </w:p>
    <w:p>
      <w:pPr>
        <w:pStyle w:val="56"/>
        <w:jc w:val="left"/>
        <w:rPr>
          <w:rFonts w:hint="default"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suppressAutoHyphens/>
        <w:adjustRightInd/>
        <w:spacing w:before="120"/>
        <w:rPr>
          <w:rFonts w:ascii="Arial" w:hAnsi="Arial" w:eastAsia="MS Mincho" w:cs="Times New Roman"/>
          <w:szCs w:val="24"/>
          <w:lang w:val="en-GB" w:eastAsia="en-GB" w:bidi="ar-SA"/>
        </w:rPr>
      </w:pPr>
      <w:r>
        <w:rPr>
          <w:rFonts w:hint="default" w:cs="Arial" w:eastAsiaTheme="minorEastAsia"/>
          <w:bCs/>
          <w:lang w:val="en-US"/>
        </w:rPr>
        <w:t xml:space="preserve">In last RAN2 meeting, there were some discussions on support of </w:t>
      </w:r>
      <w:r>
        <w:rPr>
          <w:rFonts w:hint="eastAsia" w:cs="Arial" w:eastAsiaTheme="minorEastAsia"/>
          <w:bCs/>
          <w:lang w:val="en-US" w:eastAsia="zh-CN"/>
        </w:rPr>
        <w:t>IoT-NTN TDD mode</w:t>
      </w:r>
      <w:r>
        <w:rPr>
          <w:rFonts w:hint="default" w:cs="Arial" w:eastAsiaTheme="minorEastAsia"/>
          <w:bCs/>
          <w:lang w:val="en-US"/>
        </w:rPr>
        <w:t xml:space="preserve"> and some agreements were achieved as follows [1]: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szCs w:val="24"/>
          <w:lang w:val="en-GB" w:eastAsia="en-GB" w:bidi="ar-SA"/>
        </w:rPr>
      </w:pPr>
      <w:r>
        <w:rPr>
          <w:rFonts w:ascii="Arial" w:hAnsi="Arial" w:eastAsia="MS Mincho" w:cs="Times New Roman"/>
          <w:szCs w:val="24"/>
          <w:lang w:val="en-GB" w:eastAsia="en-GB" w:bidi="ar-SA"/>
        </w:rPr>
        <w:t>Agreements:</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RAN2 will continue studying paging aspects based, on RAN1 progress</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RAN2 confirms that idle mode eDRX is supported in IoT-NTN TDD network.</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RAN2 thinks that a change of H-SFN duration (Option 1-1) and/or H-SFN total number (option 2-2) will impact RAN2 and SA2 specification regarding the support of idle mode eDRX in IoT-NTN TDD network and the impact should be evaluated.</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 xml:space="preserve">RAN2 assumes that legacy coverage enhancement techniques (i.e. transmission with repetitions) are supported in IoT-NTN TDD system. </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 xml:space="preserve">RAN2 can continue the discussion also on RAR window </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Legacy barring bit will be used (FFS is cellBarred or cellBarred-NTN)</w:t>
      </w:r>
    </w:p>
    <w:p>
      <w:pPr>
        <w:suppressAutoHyphens/>
        <w:adjustRightInd/>
        <w:spacing w:before="120"/>
        <w:rPr>
          <w:rFonts w:hint="eastAsia" w:cs="Arial" w:eastAsiaTheme="minorEastAsia"/>
        </w:rPr>
      </w:pPr>
      <w:r>
        <w:rPr>
          <w:rFonts w:hint="eastAsia" w:eastAsia="宋体"/>
          <w:lang w:val="en-US" w:eastAsia="zh-CN"/>
        </w:rPr>
        <w:t>According to RAN1 discussion progress, the latest agreements are reached as following[2]: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The guard period between the end of the downlink subframes and the beginning of the uplink subframes is fixed in specifications to be [48…50] ms at the ULSRP</w:t>
            </w:r>
          </w:p>
          <w:p>
            <w:pPr>
              <w:pStyle w:val="109"/>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NOTE: This corresponds to the largest separation between DL and UL Iridium slot pairs. Adjustments to align with different UL/DL pair can be achieved by adjusting the common TA</w:t>
            </w:r>
          </w:p>
          <w:p>
            <w:pPr>
              <w:rPr>
                <w:rFonts w:hint="default" w:ascii="Arial" w:hAnsi="Arial" w:eastAsia="宋体" w:cs="Arial"/>
                <w:bCs/>
                <w:sz w:val="20"/>
                <w:szCs w:val="20"/>
                <w:lang w:eastAsia="zh-CN"/>
              </w:rPr>
            </w:pPr>
            <w:r>
              <w:rPr>
                <w:rFonts w:hint="default" w:ascii="Arial" w:hAnsi="Arial" w:eastAsia="宋体" w:cs="Arial"/>
                <w:bCs/>
                <w:sz w:val="20"/>
                <w:szCs w:val="20"/>
                <w:highlight w:val="green"/>
                <w:lang w:eastAsia="zh-CN"/>
              </w:rPr>
              <w:t>Agreement</w:t>
            </w:r>
          </w:p>
          <w:p>
            <w:pPr>
              <w:rPr>
                <w:rFonts w:hint="default" w:ascii="Arial" w:hAnsi="Arial" w:eastAsia="宋体" w:cs="Arial"/>
                <w:bCs/>
                <w:sz w:val="20"/>
                <w:szCs w:val="20"/>
                <w:lang w:eastAsia="zh-CN"/>
              </w:rPr>
            </w:pPr>
            <w:r>
              <w:rPr>
                <w:rFonts w:hint="default" w:ascii="Arial" w:hAnsi="Arial" w:eastAsia="宋体" w:cs="Arial"/>
                <w:bCs/>
                <w:sz w:val="20"/>
                <w:szCs w:val="20"/>
                <w:lang w:eastAsia="zh-CN"/>
              </w:rPr>
              <w:t xml:space="preserve">The downlink subframes within D=8 are fixed to: </w:t>
            </w:r>
          </w:p>
          <w:p>
            <w:pPr>
              <w:pStyle w:val="109"/>
              <w:numPr>
                <w:ilvl w:val="0"/>
                <w:numId w:val="12"/>
              </w:numPr>
              <w:overflowPunct w:val="0"/>
              <w:autoSpaceDE w:val="0"/>
              <w:autoSpaceDN w:val="0"/>
              <w:adjustRightInd w:val="0"/>
              <w:ind w:leftChars="0"/>
              <w:contextualSpacing/>
              <w:textAlignment w:val="baseline"/>
              <w:rPr>
                <w:rFonts w:hint="default" w:ascii="Arial" w:hAnsi="Arial" w:cs="Arial"/>
                <w:sz w:val="20"/>
                <w:szCs w:val="20"/>
                <w:lang w:eastAsia="zh-CN"/>
              </w:rPr>
            </w:pPr>
            <w:r>
              <w:rPr>
                <w:rFonts w:hint="default" w:ascii="Arial" w:hAnsi="Arial" w:cs="Arial"/>
                <w:bCs/>
                <w:sz w:val="20"/>
                <w:szCs w:val="20"/>
                <w:lang w:eastAsia="zh-CN"/>
              </w:rPr>
              <w:t>Option 1: [3 4 5 6 7 8 9 0] (across two consecutive radio frames)</w:t>
            </w:r>
          </w:p>
          <w:p>
            <w:pPr>
              <w:rPr>
                <w:rFonts w:hint="default" w:ascii="Arial" w:hAnsi="Arial" w:eastAsia="宋体" w:cs="Arial"/>
                <w:bCs/>
                <w:sz w:val="20"/>
                <w:szCs w:val="20"/>
                <w:lang w:eastAsia="zh-CN"/>
              </w:rPr>
            </w:pPr>
            <w:r>
              <w:rPr>
                <w:rFonts w:hint="default" w:ascii="Arial" w:hAnsi="Arial" w:eastAsia="宋体" w:cs="Arial"/>
                <w:bCs/>
                <w:sz w:val="20"/>
                <w:szCs w:val="20"/>
                <w:highlight w:val="green"/>
                <w:lang w:eastAsia="zh-CN"/>
              </w:rPr>
              <w:t>Agreement</w:t>
            </w:r>
          </w:p>
          <w:p>
            <w:pPr>
              <w:rPr>
                <w:rFonts w:hint="default" w:ascii="Arial" w:hAnsi="Arial" w:eastAsia="宋体" w:cs="Arial"/>
                <w:bCs/>
                <w:sz w:val="20"/>
                <w:szCs w:val="20"/>
                <w:lang w:eastAsia="zh-CN"/>
              </w:rPr>
            </w:pPr>
            <w:r>
              <w:rPr>
                <w:rFonts w:hint="default" w:ascii="Arial" w:hAnsi="Arial" w:eastAsia="宋体" w:cs="Arial"/>
                <w:bCs/>
                <w:sz w:val="20"/>
                <w:szCs w:val="20"/>
                <w:lang w:eastAsia="zh-CN"/>
              </w:rPr>
              <w:t xml:space="preserve">NPSS/NSSS/NPBCH transmissions are dropped in non-D NB-IoT subframes </w:t>
            </w:r>
          </w:p>
          <w:p>
            <w:pPr>
              <w:pStyle w:val="109"/>
              <w:numPr>
                <w:ilvl w:val="0"/>
                <w:numId w:val="12"/>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NOTE: “non-D NB-IoT subframes” are subframes not contained within the set of D=8 usable consecutive downlink subframes in the TDD structure.</w:t>
            </w:r>
          </w:p>
          <w:p>
            <w:pPr>
              <w:pStyle w:val="109"/>
              <w:numPr>
                <w:ilvl w:val="0"/>
                <w:numId w:val="12"/>
              </w:numPr>
              <w:overflowPunct w:val="0"/>
              <w:autoSpaceDE w:val="0"/>
              <w:autoSpaceDN w:val="0"/>
              <w:adjustRightInd w:val="0"/>
              <w:ind w:leftChars="0"/>
              <w:contextualSpacing/>
              <w:textAlignment w:val="baseline"/>
              <w:rPr>
                <w:rFonts w:hint="default" w:ascii="Arial" w:hAnsi="Arial" w:cs="Arial"/>
                <w:sz w:val="20"/>
                <w:szCs w:val="20"/>
                <w:lang w:eastAsia="zh-CN"/>
              </w:rPr>
            </w:pPr>
            <w:r>
              <w:rPr>
                <w:rFonts w:hint="default" w:ascii="Arial" w:hAnsi="Arial" w:cs="Arial" w:eastAsiaTheme="minorEastAsia"/>
                <w:bCs/>
                <w:sz w:val="20"/>
                <w:szCs w:val="20"/>
                <w:lang w:eastAsia="zh-CN"/>
              </w:rPr>
              <w:t>FFS: handling for SIB1-NB</w:t>
            </w:r>
          </w:p>
          <w:p>
            <w:pPr>
              <w:rPr>
                <w:rFonts w:hint="default" w:ascii="Arial" w:hAnsi="Arial" w:eastAsia="宋体" w:cs="Arial"/>
                <w:bCs/>
                <w:sz w:val="20"/>
                <w:szCs w:val="20"/>
                <w:lang w:eastAsia="zh-CN"/>
              </w:rPr>
            </w:pPr>
            <w:r>
              <w:rPr>
                <w:rFonts w:hint="default" w:ascii="Arial" w:hAnsi="Arial" w:eastAsia="宋体" w:cs="Arial"/>
                <w:bCs/>
                <w:sz w:val="20"/>
                <w:szCs w:val="20"/>
                <w:highlight w:val="green"/>
                <w:lang w:eastAsia="zh-CN"/>
              </w:rPr>
              <w:t>Agreement</w:t>
            </w:r>
          </w:p>
          <w:p>
            <w:pPr>
              <w:rPr>
                <w:rFonts w:hint="default" w:ascii="Arial" w:hAnsi="Arial" w:eastAsia="宋体" w:cs="Arial"/>
                <w:bCs/>
                <w:sz w:val="20"/>
                <w:szCs w:val="20"/>
                <w:lang w:eastAsia="zh-CN"/>
              </w:rPr>
            </w:pPr>
            <w:r>
              <w:rPr>
                <w:rFonts w:hint="default" w:ascii="Arial" w:hAnsi="Arial" w:eastAsia="宋体" w:cs="Arial"/>
                <w:bCs/>
                <w:sz w:val="20"/>
                <w:szCs w:val="20"/>
                <w:lang w:eastAsia="zh-CN"/>
              </w:rPr>
              <w:t>The non-U NB-IoT subframes are not considered by the UE as “NB-IoT UL subframes” from the specifications</w:t>
            </w:r>
          </w:p>
          <w:p>
            <w:pPr>
              <w:pStyle w:val="109"/>
              <w:numPr>
                <w:ilvl w:val="0"/>
                <w:numId w:val="12"/>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NPUSCH is mapped as per current specifications.</w:t>
            </w:r>
          </w:p>
          <w:p>
            <w:pPr>
              <w:pStyle w:val="109"/>
              <w:numPr>
                <w:ilvl w:val="0"/>
                <w:numId w:val="12"/>
              </w:numPr>
              <w:overflowPunct w:val="0"/>
              <w:autoSpaceDE w:val="0"/>
              <w:autoSpaceDN w:val="0"/>
              <w:adjustRightInd w:val="0"/>
              <w:ind w:leftChars="0"/>
              <w:contextualSpacing/>
              <w:textAlignment w:val="baseline"/>
              <w:rPr>
                <w:rFonts w:hint="default" w:ascii="Arial" w:hAnsi="Arial" w:cs="Arial"/>
                <w:sz w:val="20"/>
                <w:szCs w:val="20"/>
              </w:rPr>
            </w:pPr>
            <w:r>
              <w:rPr>
                <w:rFonts w:hint="default" w:ascii="Arial" w:hAnsi="Arial" w:cs="Arial"/>
                <w:bCs/>
                <w:sz w:val="20"/>
                <w:szCs w:val="20"/>
                <w:lang w:eastAsia="zh-CN"/>
              </w:rPr>
              <w:t>NOTE: “non-U NB-IoT subframes” are subframes not contained within the set of U=8 usable consecutive uplink subframes in the TDD structure.</w:t>
            </w:r>
          </w:p>
          <w:p>
            <w:pPr>
              <w:rPr>
                <w:rFonts w:hint="default" w:ascii="Arial" w:hAnsi="Arial" w:eastAsia="宋体" w:cs="Arial"/>
                <w:bCs/>
                <w:sz w:val="20"/>
                <w:szCs w:val="20"/>
                <w:lang w:eastAsia="zh-CN"/>
              </w:rPr>
            </w:pPr>
            <w:r>
              <w:rPr>
                <w:rFonts w:hint="default" w:ascii="Arial" w:hAnsi="Arial" w:eastAsia="宋体" w:cs="Arial"/>
                <w:bCs/>
                <w:sz w:val="20"/>
                <w:szCs w:val="20"/>
                <w:highlight w:val="green"/>
                <w:lang w:eastAsia="zh-CN"/>
              </w:rPr>
              <w:t>Agreement</w:t>
            </w:r>
          </w:p>
          <w:p>
            <w:pPr>
              <w:rPr>
                <w:rFonts w:hint="default" w:ascii="Arial" w:hAnsi="Arial" w:eastAsia="宋体" w:cs="Arial"/>
                <w:bCs/>
                <w:sz w:val="20"/>
                <w:szCs w:val="20"/>
                <w:lang w:eastAsia="zh-CN"/>
              </w:rPr>
            </w:pPr>
            <w:r>
              <w:rPr>
                <w:rFonts w:hint="default" w:ascii="Arial" w:hAnsi="Arial" w:eastAsia="宋体" w:cs="Arial"/>
                <w:bCs/>
                <w:sz w:val="20"/>
                <w:szCs w:val="20"/>
                <w:lang w:eastAsia="zh-CN"/>
              </w:rPr>
              <w:t>The non-D NB-IoT subframes are not considered by the UE as “NB-IoT DL subframes” from the specifications</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NPDCCH / NPDSCH (not containing SI) are mapped as per current specifications.</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FFS: additional NB-IoT TDD-specific rules for handling non “NB-IoT DL subframes”</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FFS: Introduction of new periodicities for NPDCCH monitoring (e.g. by the introduction of scaling factor)</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FFS: whether all the configuration values for NPDCCH are valid for NB-IoT NTN TDD.</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eastAsiaTheme="minorEastAsia"/>
                <w:bCs/>
                <w:sz w:val="20"/>
                <w:szCs w:val="20"/>
                <w:lang w:eastAsia="zh-CN"/>
              </w:rPr>
              <w:t>FFS: handling of DL transmission gap</w:t>
            </w:r>
          </w:p>
          <w:p>
            <w:pPr>
              <w:pStyle w:val="109"/>
              <w:numPr>
                <w:ilvl w:val="0"/>
                <w:numId w:val="13"/>
              </w:numPr>
              <w:overflowPunct w:val="0"/>
              <w:autoSpaceDE w:val="0"/>
              <w:autoSpaceDN w:val="0"/>
              <w:adjustRightInd w:val="0"/>
              <w:ind w:leftChars="0"/>
              <w:contextualSpacing/>
              <w:textAlignment w:val="baseline"/>
              <w:rPr>
                <w:rFonts w:hint="default" w:ascii="Arial" w:hAnsi="Arial" w:cs="Arial"/>
                <w:bCs/>
                <w:sz w:val="20"/>
                <w:szCs w:val="20"/>
                <w:lang w:eastAsia="zh-CN"/>
              </w:rPr>
            </w:pPr>
            <w:r>
              <w:rPr>
                <w:rFonts w:hint="default" w:ascii="Arial" w:hAnsi="Arial" w:cs="Arial"/>
                <w:bCs/>
                <w:sz w:val="20"/>
                <w:szCs w:val="20"/>
                <w:lang w:eastAsia="zh-CN"/>
              </w:rPr>
              <w:t>NOTE: “non-D NB-IoT subframes” are subframes not contained within the set of D=8 usable consecutive downlink subframes in the TDD structure.</w:t>
            </w:r>
          </w:p>
          <w:p>
            <w:pPr>
              <w:rPr>
                <w:rFonts w:hint="default" w:ascii="Arial" w:hAnsi="Arial" w:cs="Arial"/>
                <w:iCs/>
                <w:color w:val="FF0000"/>
                <w:sz w:val="20"/>
                <w:szCs w:val="20"/>
              </w:rPr>
            </w:pPr>
          </w:p>
          <w:p>
            <w:pPr>
              <w:rPr>
                <w:rFonts w:hint="default" w:ascii="Arial" w:hAnsi="Arial" w:eastAsia="宋体" w:cs="Arial"/>
                <w:b/>
                <w:bCs/>
                <w:sz w:val="20"/>
                <w:szCs w:val="20"/>
                <w:lang w:eastAsia="zh-CN"/>
              </w:rPr>
            </w:pPr>
            <w:r>
              <w:rPr>
                <w:rFonts w:hint="default" w:ascii="Arial" w:hAnsi="Arial" w:eastAsia="宋体" w:cs="Arial"/>
                <w:b/>
                <w:bCs/>
                <w:sz w:val="20"/>
                <w:szCs w:val="20"/>
                <w:lang w:eastAsia="zh-CN"/>
              </w:rPr>
              <w:t>Conclusion</w:t>
            </w:r>
          </w:p>
          <w:p>
            <w:pPr>
              <w:rPr>
                <w:rFonts w:hint="default" w:ascii="Arial" w:hAnsi="Arial" w:cs="Arial"/>
                <w:bCs/>
                <w:sz w:val="20"/>
                <w:szCs w:val="20"/>
                <w:lang w:val="en-US"/>
              </w:rPr>
            </w:pPr>
            <w:r>
              <w:rPr>
                <w:rFonts w:hint="default" w:ascii="Arial" w:hAnsi="Arial" w:eastAsia="宋体" w:cs="Arial"/>
                <w:bCs/>
                <w:sz w:val="20"/>
                <w:szCs w:val="20"/>
                <w:lang w:eastAsia="zh-CN"/>
              </w:rPr>
              <w:t xml:space="preserve">For determining </w:t>
            </w:r>
            <w:r>
              <w:rPr>
                <w:rFonts w:hint="default" w:ascii="Arial" w:hAnsi="Arial" w:cs="Arial"/>
                <w:bCs/>
                <w:sz w:val="20"/>
                <w:szCs w:val="20"/>
                <w:lang w:val="en-US"/>
              </w:rPr>
              <w:t>the offset between the 90ms TDD structure and the 10240ms H-SFN: the UE may derive the 90ms TDD structure based on observations of downlink signals.</w:t>
            </w:r>
          </w:p>
          <w:p>
            <w:pPr>
              <w:rPr>
                <w:rFonts w:hint="eastAsia" w:cs="Arial" w:eastAsiaTheme="minorEastAsia"/>
                <w:vertAlign w:val="baseline"/>
              </w:rPr>
            </w:pPr>
            <w:r>
              <w:rPr>
                <w:rFonts w:hint="default" w:ascii="Arial" w:hAnsi="Arial" w:cs="Arial"/>
                <w:bCs/>
                <w:sz w:val="20"/>
                <w:szCs w:val="20"/>
                <w:lang w:val="en-US"/>
              </w:rPr>
              <w:t>No specification impact.</w:t>
            </w:r>
          </w:p>
        </w:tc>
      </w:tr>
    </w:tbl>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w:t>
      </w:r>
      <w:r>
        <w:rPr>
          <w:rFonts w:hint="eastAsia" w:eastAsia="宋体" w:cs="Arial"/>
          <w:lang w:val="en-US" w:eastAsia="zh-CN"/>
        </w:rPr>
        <w:t>support of IoT-NTN TDD mode</w:t>
      </w:r>
      <w:r>
        <w:rPr>
          <w:rFonts w:hint="eastAsia" w:cs="Arial" w:eastAsiaTheme="minorEastAsia"/>
        </w:rPr>
        <w:t>.</w:t>
      </w:r>
    </w:p>
    <w:p>
      <w:pPr>
        <w:pStyle w:val="2"/>
        <w:rPr>
          <w:rFonts w:hint="default" w:cs="Arial"/>
          <w:sz w:val="32"/>
          <w:szCs w:val="32"/>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User plane impact</w:t>
      </w:r>
    </w:p>
    <w:p>
      <w:pPr>
        <w:pStyle w:val="4"/>
        <w:numPr>
          <w:ilvl w:val="1"/>
          <w:numId w:val="0"/>
        </w:numPr>
        <w:bidi w:val="0"/>
        <w:ind w:left="142" w:leftChars="0"/>
        <w:rPr>
          <w:rFonts w:hint="eastAsia" w:eastAsiaTheme="minorEastAsia"/>
          <w:b w:val="0"/>
          <w:bCs w:val="0"/>
          <w:sz w:val="20"/>
          <w:szCs w:val="20"/>
          <w:lang w:val="en-US" w:eastAsia="zh-CN"/>
        </w:rPr>
      </w:pPr>
      <w:r>
        <w:rPr>
          <w:rFonts w:hint="eastAsia"/>
          <w:b/>
          <w:bCs/>
          <w:sz w:val="20"/>
          <w:szCs w:val="20"/>
          <w:lang w:val="en-US" w:eastAsia="zh-CN"/>
        </w:rPr>
        <w:t>2.1.1 RA</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In last RAN2 meeting, we assumed that legacy coverage enhancement techniques (i.e. transmission with repetitions) are supported in IoT-NTN TDD system. And the existing NPDCCH repetition range is {r1, r2, r4, r8, r16, r32, r64, r128, r256, r512, r1024, r2048, spare4, spare3, spare2, spare1}. The current RAR window size for NB-IoT is provide as following:</w:t>
      </w:r>
    </w:p>
    <w:p>
      <w:pPr>
        <w:pStyle w:val="87"/>
        <w:shd w:val="clear" w:color="auto" w:fill="E6E6E6"/>
      </w:pPr>
      <w:r>
        <w:t>ra-ResponseWindowSize-r13</w:t>
      </w:r>
      <w:r>
        <w:tab/>
      </w:r>
      <w:r>
        <w:tab/>
      </w:r>
      <w:r>
        <w:tab/>
      </w:r>
      <w:r>
        <w:t>ENUMERATED {</w:t>
      </w:r>
    </w:p>
    <w:p>
      <w:pPr>
        <w:pStyle w:val="87"/>
        <w:shd w:val="clear" w:color="auto" w:fill="E6E6E6"/>
      </w:pPr>
      <w:r>
        <w:tab/>
      </w:r>
      <w:r>
        <w:tab/>
      </w:r>
      <w:r>
        <w:tab/>
      </w:r>
      <w:r>
        <w:tab/>
      </w:r>
      <w:r>
        <w:tab/>
      </w:r>
      <w:r>
        <w:tab/>
      </w:r>
      <w:r>
        <w:tab/>
      </w:r>
      <w:r>
        <w:tab/>
      </w:r>
      <w:r>
        <w:tab/>
      </w:r>
      <w:r>
        <w:tab/>
      </w:r>
      <w:r>
        <w:tab/>
      </w:r>
      <w:r>
        <w:t>pp2, pp3, pp4, pp5, pp6, pp7, pp8, pp10},</w:t>
      </w:r>
    </w:p>
    <w:p>
      <w:pPr>
        <w:pStyle w:val="60"/>
        <w:spacing w:after="0"/>
        <w:ind w:left="0" w:firstLine="0"/>
        <w:rPr>
          <w:rFonts w:hint="eastAsia" w:eastAsiaTheme="minorEastAsia"/>
          <w:b w:val="0"/>
          <w:bCs w:val="0"/>
          <w:sz w:val="20"/>
          <w:szCs w:val="20"/>
          <w:lang w:val="en-US" w:eastAsia="zh-CN"/>
        </w:rPr>
      </w:pPr>
    </w:p>
    <w:tbl>
      <w:tblPr>
        <w:tblStyle w:val="4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8"/>
              <w:rPr>
                <w:b/>
                <w:i/>
                <w:sz w:val="20"/>
                <w:szCs w:val="20"/>
                <w:lang w:eastAsia="en-GB"/>
              </w:rPr>
            </w:pPr>
            <w:r>
              <w:rPr>
                <w:b/>
                <w:i/>
                <w:sz w:val="20"/>
                <w:szCs w:val="20"/>
                <w:lang w:eastAsia="en-GB"/>
              </w:rPr>
              <w:t>ra-ResponseWindowSize</w:t>
            </w:r>
          </w:p>
          <w:p>
            <w:pPr>
              <w:pStyle w:val="68"/>
              <w:rPr>
                <w:sz w:val="20"/>
                <w:szCs w:val="20"/>
                <w:lang w:eastAsia="en-GB"/>
              </w:rPr>
            </w:pPr>
            <w:r>
              <w:rPr>
                <w:sz w:val="20"/>
                <w:szCs w:val="20"/>
                <w:lang w:eastAsia="en-GB"/>
              </w:rPr>
              <w:t>Duration of the RA response window in TS 36.321 [6]. Value in PDCCH periods. Value pp2 corresponds to 2 PDDCH periods, pp3 corresponds to 3 PDCCH periods and so on.</w:t>
            </w:r>
          </w:p>
          <w:p>
            <w:pPr>
              <w:pStyle w:val="68"/>
              <w:rPr>
                <w:sz w:val="20"/>
                <w:szCs w:val="20"/>
                <w:lang w:eastAsia="zh-TW"/>
              </w:rPr>
            </w:pPr>
            <w:r>
              <w:rPr>
                <w:sz w:val="20"/>
                <w:szCs w:val="20"/>
                <w:lang w:eastAsia="en-GB"/>
              </w:rPr>
              <w:t xml:space="preserve">For FDD: The value </w:t>
            </w:r>
            <w:r>
              <w:rPr>
                <w:sz w:val="20"/>
                <w:szCs w:val="20"/>
                <w:lang w:eastAsia="zh-TW"/>
              </w:rPr>
              <w:t>considered by the UE is:</w:t>
            </w:r>
            <w:r>
              <w:rPr>
                <w:rFonts w:eastAsia="PMingLiU"/>
                <w:sz w:val="20"/>
                <w:szCs w:val="20"/>
                <w:lang w:eastAsia="zh-TW"/>
              </w:rPr>
              <w:t xml:space="preserve"> </w:t>
            </w:r>
            <w:r>
              <w:rPr>
                <w:rFonts w:eastAsia="PMingLiU"/>
                <w:i/>
                <w:sz w:val="20"/>
                <w:szCs w:val="20"/>
                <w:lang w:eastAsia="zh-TW"/>
              </w:rPr>
              <w:t>ra-ResponseWindowSize</w:t>
            </w:r>
            <w:r>
              <w:rPr>
                <w:rFonts w:eastAsia="PMingLiU"/>
                <w:sz w:val="20"/>
                <w:szCs w:val="20"/>
                <w:lang w:eastAsia="zh-TW"/>
              </w:rPr>
              <w:t xml:space="preserve"> = Min (signaled value x PDCCH period, 10.24s)</w:t>
            </w:r>
            <w:r>
              <w:rPr>
                <w:sz w:val="20"/>
                <w:szCs w:val="20"/>
                <w:lang w:eastAsia="zh-TW"/>
              </w:rPr>
              <w:t>.</w:t>
            </w:r>
          </w:p>
          <w:p>
            <w:pPr>
              <w:pStyle w:val="68"/>
              <w:rPr>
                <w:b/>
                <w:i/>
                <w:lang w:eastAsia="en-GB"/>
              </w:rPr>
            </w:pPr>
            <w:r>
              <w:rPr>
                <w:sz w:val="20"/>
                <w:szCs w:val="20"/>
                <w:lang w:eastAsia="zh-TW"/>
              </w:rPr>
              <w:t xml:space="preserve">For TDD: The value considered by the UE is: </w:t>
            </w:r>
            <w:r>
              <w:rPr>
                <w:i/>
                <w:sz w:val="20"/>
                <w:szCs w:val="20"/>
                <w:lang w:eastAsia="zh-TW"/>
              </w:rPr>
              <w:t>ra-ResponseWindowSize</w:t>
            </w:r>
            <w:r>
              <w:rPr>
                <w:sz w:val="20"/>
                <w:szCs w:val="20"/>
                <w:lang w:eastAsia="zh-TW"/>
              </w:rPr>
              <w:t xml:space="preserve"> = Min (signaled value x PDCCH period, 20.48s).</w:t>
            </w:r>
          </w:p>
        </w:tc>
      </w:tr>
    </w:tbl>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Based on network implementation, the existing RAR window value range could cover the new TDD pattern, and so does mac-ContentionResolutionTimer similarly.</w:t>
      </w:r>
    </w:p>
    <w:p>
      <w:pPr>
        <w:pStyle w:val="60"/>
        <w:spacing w:after="0"/>
        <w:ind w:left="0" w:firstLine="0"/>
        <w:rPr>
          <w:rFonts w:hint="default" w:eastAsia="宋体"/>
          <w:b/>
          <w:bCs/>
          <w:lang w:val="en-US" w:eastAsia="zh-CN"/>
        </w:rPr>
      </w:pPr>
      <w:r>
        <w:rPr>
          <w:rFonts w:hint="eastAsia" w:eastAsiaTheme="minorEastAsia"/>
          <w:b/>
          <w:bCs/>
          <w:sz w:val="20"/>
          <w:szCs w:val="20"/>
          <w:lang w:val="en-US" w:eastAsia="zh-CN"/>
        </w:rPr>
        <w:t xml:space="preserve">Proposal 1: The existing </w:t>
      </w:r>
      <w:r>
        <w:rPr>
          <w:rFonts w:hint="eastAsia" w:eastAsiaTheme="minorEastAsia"/>
          <w:b/>
          <w:bCs/>
          <w:i/>
          <w:iCs/>
          <w:sz w:val="20"/>
          <w:szCs w:val="20"/>
          <w:lang w:val="en-US" w:eastAsia="zh-CN"/>
        </w:rPr>
        <w:t>ra-ResponseWindowSize</w:t>
      </w:r>
      <w:r>
        <w:rPr>
          <w:rFonts w:hint="eastAsia" w:eastAsiaTheme="minorEastAsia"/>
          <w:b/>
          <w:bCs/>
          <w:sz w:val="20"/>
          <w:szCs w:val="20"/>
          <w:lang w:val="en-US" w:eastAsia="zh-CN"/>
        </w:rPr>
        <w:t xml:space="preserve"> and </w:t>
      </w:r>
      <w:r>
        <w:rPr>
          <w:rFonts w:hint="eastAsia" w:eastAsiaTheme="minorEastAsia"/>
          <w:b/>
          <w:bCs/>
          <w:i/>
          <w:iCs/>
          <w:sz w:val="20"/>
          <w:szCs w:val="20"/>
          <w:lang w:val="en-US" w:eastAsia="zh-CN"/>
        </w:rPr>
        <w:t>mac-ContentionResolutionTimer</w:t>
      </w:r>
      <w:r>
        <w:rPr>
          <w:rFonts w:hint="eastAsia" w:eastAsiaTheme="minorEastAsia"/>
          <w:b/>
          <w:bCs/>
          <w:sz w:val="20"/>
          <w:szCs w:val="20"/>
          <w:lang w:val="en-US" w:eastAsia="zh-CN"/>
        </w:rPr>
        <w:t xml:space="preserve"> value range could cover the new TDD pattern based on network configuration.</w:t>
      </w:r>
    </w:p>
    <w:p>
      <w:pPr>
        <w:pStyle w:val="4"/>
        <w:numPr>
          <w:ilvl w:val="1"/>
          <w:numId w:val="0"/>
        </w:numPr>
        <w:bidi w:val="0"/>
        <w:ind w:left="142" w:leftChars="0"/>
        <w:rPr>
          <w:rFonts w:hint="default" w:eastAsiaTheme="minorEastAsia"/>
          <w:b w:val="0"/>
          <w:bCs w:val="0"/>
          <w:sz w:val="20"/>
          <w:szCs w:val="20"/>
          <w:lang w:val="en-US" w:eastAsia="zh-CN"/>
        </w:rPr>
      </w:pPr>
      <w:r>
        <w:rPr>
          <w:rFonts w:hint="eastAsia"/>
          <w:b/>
          <w:bCs/>
          <w:sz w:val="20"/>
          <w:szCs w:val="20"/>
          <w:lang w:val="en-US" w:eastAsia="zh-CN"/>
        </w:rPr>
        <w:t>2.1.2 HARQ</w:t>
      </w: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And for HARQ of NB-IoT NTN FDD, in R18, we supported DL HARQ feedback disabled to support long propagation delay based on network configuration. For NB-IoT NTN TDD, considering the characteristic of the new TDD structure, for one HARQ process, the interval between a new transmission and a retransmission or two retransmission would be too long. That is a feedback used to determine whether a retransmission is needed may be not important. And we could consider an solution (e.g. add related description in TS 36.300) that if the NB-IoT NTN system operates in TDD mode, the HARQ feedback is disabled as default.</w:t>
      </w:r>
    </w:p>
    <w:p>
      <w:pPr>
        <w:pStyle w:val="60"/>
        <w:spacing w:after="0"/>
        <w:ind w:left="0" w:firstLine="0"/>
        <w:rPr>
          <w:rFonts w:hint="eastAsia" w:eastAsia="宋体"/>
          <w:b/>
          <w:bCs/>
          <w:lang w:val="en-US" w:eastAsia="zh-CN"/>
        </w:rPr>
      </w:pPr>
      <w:r>
        <w:rPr>
          <w:rFonts w:hint="eastAsia" w:eastAsia="宋体"/>
          <w:b/>
          <w:bCs/>
          <w:lang w:val="en-US" w:eastAsia="zh-CN"/>
        </w:rPr>
        <w:t>Proposal 2: It is proposed that if the NB-IoT NTN system operates in TDD mode, the HARQ feedback is disabled by default, and to be simple, we could just add related description in TS 36.300.</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Control plane impact</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2.2.1 Cell bar</w:t>
      </w:r>
    </w:p>
    <w:p>
      <w:pPr>
        <w:pStyle w:val="60"/>
        <w:spacing w:after="0"/>
        <w:ind w:left="0" w:firstLine="0"/>
        <w:rPr>
          <w:rFonts w:hint="default" w:eastAsia="宋体"/>
          <w:b w:val="0"/>
          <w:bCs w:val="0"/>
          <w:sz w:val="20"/>
          <w:szCs w:val="20"/>
          <w:lang w:val="en-US" w:eastAsia="zh-CN"/>
        </w:rPr>
      </w:pPr>
      <w:r>
        <w:rPr>
          <w:rFonts w:hint="eastAsia" w:eastAsiaTheme="minorEastAsia"/>
          <w:b w:val="0"/>
          <w:bCs w:val="0"/>
          <w:sz w:val="20"/>
          <w:szCs w:val="20"/>
          <w:lang w:val="en-US" w:eastAsia="zh-CN"/>
        </w:rPr>
        <w:t xml:space="preserve">We agreed to reuse the legacy barring bit and FFS cellBarred or cellBarred-NTN. According to the WID scope, the new TDD pattern operates in 1616-1626.5 MHz MSS allocated band, and </w:t>
      </w:r>
      <w:r>
        <w:t>TN deployment is not expected in this band</w:t>
      </w:r>
      <w:r>
        <w:rPr>
          <w:rFonts w:hint="eastAsia" w:eastAsia="宋体"/>
          <w:lang w:val="en-US" w:eastAsia="zh-CN"/>
        </w:rPr>
        <w:t>. Then legacy NTN UE operating band in FR1 is shown in the following:</w:t>
      </w:r>
    </w:p>
    <w:p>
      <w:pPr>
        <w:pStyle w:val="73"/>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0"/>
            </w:pPr>
            <w:r>
              <w:rPr>
                <w:szCs w:val="18"/>
              </w:rPr>
              <w:t xml:space="preserve">Satellite </w:t>
            </w:r>
            <w:r>
              <w:rPr>
                <w:i/>
              </w:rPr>
              <w:t>operating band</w:t>
            </w:r>
          </w:p>
        </w:tc>
        <w:tc>
          <w:tcPr>
            <w:tcW w:w="2607" w:type="dxa"/>
            <w:shd w:val="clear" w:color="auto" w:fill="auto"/>
          </w:tcPr>
          <w:p>
            <w:pPr>
              <w:pStyle w:val="70"/>
            </w:pPr>
            <w:r>
              <w:t xml:space="preserve">Uplink (UL) </w:t>
            </w:r>
            <w:r>
              <w:rPr>
                <w:i/>
              </w:rPr>
              <w:t>operating band</w:t>
            </w:r>
            <w:r>
              <w:br w:type="textWrapping"/>
            </w:r>
            <w:r>
              <w:rPr>
                <w:rFonts w:hint="eastAsia"/>
                <w:lang w:val="en-US" w:eastAsia="zh-CN"/>
              </w:rPr>
              <w:t>SAN</w:t>
            </w:r>
            <w:r>
              <w:t xml:space="preserve"> receive / UE transmit</w:t>
            </w:r>
          </w:p>
          <w:p>
            <w:pPr>
              <w:pStyle w:val="70"/>
            </w:pPr>
            <w:r>
              <w:t>F</w:t>
            </w:r>
            <w:r>
              <w:rPr>
                <w:vertAlign w:val="subscript"/>
              </w:rPr>
              <w:t>UL,low</w:t>
            </w:r>
            <w:r>
              <w:t xml:space="preserve">   –  F</w:t>
            </w:r>
            <w:r>
              <w:rPr>
                <w:vertAlign w:val="subscript"/>
              </w:rPr>
              <w:t>UL,high</w:t>
            </w:r>
          </w:p>
        </w:tc>
        <w:tc>
          <w:tcPr>
            <w:tcW w:w="2806" w:type="dxa"/>
            <w:shd w:val="clear" w:color="auto" w:fill="auto"/>
          </w:tcPr>
          <w:p>
            <w:pPr>
              <w:pStyle w:val="70"/>
            </w:pPr>
            <w:r>
              <w:t xml:space="preserve">Downlink (DL) </w:t>
            </w:r>
            <w:r>
              <w:rPr>
                <w:i/>
              </w:rPr>
              <w:t>operating band</w:t>
            </w:r>
            <w:r>
              <w:br w:type="textWrapping"/>
            </w:r>
            <w:r>
              <w:rPr>
                <w:rFonts w:hint="eastAsia"/>
                <w:lang w:val="en-US" w:eastAsia="zh-CN"/>
              </w:rPr>
              <w:t>SAN</w:t>
            </w:r>
            <w:r>
              <w:t xml:space="preserve"> transmit / UE receive</w:t>
            </w:r>
          </w:p>
          <w:p>
            <w:pPr>
              <w:pStyle w:val="70"/>
            </w:pPr>
            <w:r>
              <w:t>F</w:t>
            </w:r>
            <w:r>
              <w:rPr>
                <w:vertAlign w:val="subscript"/>
              </w:rPr>
              <w:t>DL,low</w:t>
            </w:r>
            <w:r>
              <w:t xml:space="preserve">   –  F</w:t>
            </w:r>
            <w:r>
              <w:rPr>
                <w:vertAlign w:val="subscript"/>
              </w:rPr>
              <w:t>DL,high</w:t>
            </w:r>
          </w:p>
        </w:tc>
        <w:tc>
          <w:tcPr>
            <w:tcW w:w="1286" w:type="dxa"/>
            <w:shd w:val="clear" w:color="auto" w:fill="auto"/>
          </w:tcPr>
          <w:p>
            <w:pPr>
              <w:pStyle w:val="70"/>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n256</w:t>
            </w:r>
          </w:p>
        </w:tc>
        <w:tc>
          <w:tcPr>
            <w:tcW w:w="2607" w:type="dxa"/>
            <w:shd w:val="clear" w:color="auto" w:fill="auto"/>
          </w:tcPr>
          <w:p>
            <w:pPr>
              <w:pStyle w:val="69"/>
            </w:pPr>
            <w:r>
              <w:t xml:space="preserve">1980 </w:t>
            </w:r>
            <w:r>
              <w:rPr>
                <w:rFonts w:hint="eastAsia"/>
                <w:lang w:val="en-US"/>
              </w:rPr>
              <w:t>MHz</w:t>
            </w:r>
            <w:r>
              <w:t xml:space="preserve"> – 2010 MHz</w:t>
            </w:r>
          </w:p>
        </w:tc>
        <w:tc>
          <w:tcPr>
            <w:tcW w:w="2806" w:type="dxa"/>
            <w:shd w:val="clear" w:color="auto" w:fill="auto"/>
          </w:tcPr>
          <w:p>
            <w:pPr>
              <w:pStyle w:val="69"/>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n255</w:t>
            </w:r>
          </w:p>
        </w:tc>
        <w:tc>
          <w:tcPr>
            <w:tcW w:w="2607" w:type="dxa"/>
            <w:shd w:val="clear" w:color="auto" w:fill="auto"/>
          </w:tcPr>
          <w:p>
            <w:pPr>
              <w:pStyle w:val="69"/>
            </w:pPr>
            <w:r>
              <w:t>1626.5 MHz – 1660.5 MHz</w:t>
            </w:r>
          </w:p>
        </w:tc>
        <w:tc>
          <w:tcPr>
            <w:tcW w:w="2806" w:type="dxa"/>
            <w:shd w:val="clear" w:color="auto" w:fill="auto"/>
          </w:tcPr>
          <w:p>
            <w:pPr>
              <w:pStyle w:val="69"/>
            </w:pPr>
            <w:r>
              <w:t>1525 MHz – 1559</w:t>
            </w:r>
            <w:r>
              <w:rPr>
                <w:rFonts w:hint="eastAsia"/>
              </w:rPr>
              <w:t xml:space="preserve"> </w:t>
            </w:r>
            <w:r>
              <w:t>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lang w:val="en-US" w:eastAsia="zh-CN"/>
              </w:rPr>
              <w:t>n254</w:t>
            </w:r>
          </w:p>
        </w:tc>
        <w:tc>
          <w:tcPr>
            <w:tcW w:w="2607" w:type="dxa"/>
            <w:shd w:val="clear" w:color="auto" w:fill="auto"/>
          </w:tcPr>
          <w:p>
            <w:pPr>
              <w:pStyle w:val="69"/>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69"/>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69"/>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71"/>
            </w:pPr>
            <w:r>
              <w:t>NOTE:</w:t>
            </w:r>
            <w:r>
              <w:tab/>
            </w:r>
            <w:r>
              <w:t xml:space="preserve">Satellite </w:t>
            </w:r>
            <w:r>
              <w:rPr>
                <w:rFonts w:hint="eastAsia"/>
              </w:rPr>
              <w:t xml:space="preserve">bands are numbered in </w:t>
            </w:r>
            <w:r>
              <w:t>descending</w:t>
            </w:r>
            <w:r>
              <w:rPr>
                <w:rFonts w:hint="eastAsia"/>
              </w:rPr>
              <w:t xml:space="preserve"> order from n256.</w:t>
            </w:r>
          </w:p>
        </w:tc>
      </w:tr>
    </w:tbl>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It can be seen that, there is only some overlap between the FDD UL operating band n254 and the 1616-1626.5 MHz MSS allocated band, which means for DL, legacy NTN UE would not search on this band. That is to say both cellBarred or cellBarred-NTN could be used for access control for the R19 NB-IoT NTN UE supporting the new TDD pattern, there is no confusion.</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3: Both cellBarred or cellBarred-NTN could be used for access control for the R19 NB-IoT NTN UE supporting the new TDD pattern.</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 xml:space="preserve">2.2.2 System information scheduling </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Based on the scope, there are only 8 consecutive DL subframes in the TDD pattern, then SIB1-NB only could be transmitted at most once in one TDD pattern period, which could not even support the repetition mechanism against the poor coverage that some IoT devices deployed. Then for other SIB-NB information scheduled by SIB1-NB, the corresponding SI window may be also affected. As in the current TS 36.331, for NB-IoT UE, the related SI window determination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3" w:name="_Toc29342044"/>
            <w:bookmarkStart w:id="4" w:name="_Toc46480461"/>
            <w:bookmarkStart w:id="5" w:name="_Toc46482929"/>
            <w:bookmarkStart w:id="6" w:name="_Toc20486752"/>
            <w:bookmarkStart w:id="7" w:name="_Toc36938857"/>
            <w:bookmarkStart w:id="8" w:name="_Toc29343183"/>
            <w:bookmarkStart w:id="9" w:name="_Toc46481695"/>
            <w:bookmarkStart w:id="10" w:name="_Toc185640088"/>
            <w:bookmarkStart w:id="11" w:name="_Toc36809840"/>
            <w:bookmarkStart w:id="12" w:name="_Toc36566431"/>
            <w:bookmarkStart w:id="13" w:name="_Toc37081836"/>
            <w:bookmarkStart w:id="14" w:name="_Toc36846204"/>
            <w:r>
              <w:t>5.2.3a</w:t>
            </w:r>
            <w:r>
              <w:tab/>
            </w:r>
            <w:r>
              <w:t>Acquisition of an SI message by BL UE or UE in CE or a NB-IoT UE</w:t>
            </w:r>
            <w:bookmarkEnd w:id="3"/>
            <w:bookmarkEnd w:id="4"/>
            <w:bookmarkEnd w:id="5"/>
            <w:bookmarkEnd w:id="6"/>
            <w:bookmarkEnd w:id="7"/>
            <w:bookmarkEnd w:id="8"/>
            <w:bookmarkEnd w:id="9"/>
            <w:bookmarkEnd w:id="10"/>
            <w:bookmarkEnd w:id="11"/>
            <w:bookmarkEnd w:id="12"/>
            <w:bookmarkEnd w:id="13"/>
            <w:bookmarkEnd w:id="14"/>
          </w:p>
          <w:p>
            <w:r>
              <w:t>When acquiring an SI message, the BL UE or UE in CE or NB-IoT UE shall:</w:t>
            </w:r>
          </w:p>
          <w:p>
            <w:pPr>
              <w:pStyle w:val="60"/>
              <w:numPr>
                <w:ilvl w:val="0"/>
                <w:numId w:val="14"/>
              </w:numPr>
            </w:pPr>
            <w:r>
              <w:t>determine the start of the SI-window for the concerned SI message as follows:</w:t>
            </w:r>
          </w:p>
          <w:p>
            <w:pPr>
              <w:pStyle w:val="61"/>
            </w:pPr>
            <w:r>
              <w:t>2&gt;</w:t>
            </w:r>
            <w:r>
              <w:tab/>
            </w:r>
            <w:r>
              <w:t xml:space="preserve">if the concerned SI message is configured in the </w:t>
            </w:r>
            <w:r>
              <w:rPr>
                <w:i/>
                <w:iCs/>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iCs/>
              </w:rPr>
              <w:t>si-posOffset</w:t>
            </w:r>
            <w:r>
              <w:t xml:space="preserve"> is not configured;</w:t>
            </w:r>
          </w:p>
          <w:p>
            <w:pPr>
              <w:pStyle w:val="62"/>
            </w:pPr>
            <w:r>
              <w:t>3&gt;</w:t>
            </w:r>
            <w:r>
              <w:tab/>
            </w:r>
            <w:r>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in </w:t>
            </w:r>
            <w:r>
              <w:rPr>
                <w:i/>
                <w:iCs/>
              </w:rPr>
              <w:t xml:space="preserve">SystemInformationBlockType1-BR </w:t>
            </w:r>
            <w:r>
              <w:t>(or</w:t>
            </w:r>
            <w:r>
              <w:rPr>
                <w:i/>
                <w:iCs/>
              </w:rPr>
              <w:t xml:space="preserve"> SystemInformationBlockType1-NB </w:t>
            </w:r>
            <w:r>
              <w:rPr>
                <w:iCs/>
              </w:rPr>
              <w:t xml:space="preserve">in NB-IoT) </w:t>
            </w:r>
            <w:r>
              <w:t xml:space="preserve">and </w:t>
            </w:r>
            <w:r>
              <w:rPr>
                <w:i/>
              </w:rPr>
              <w:t>posSchedulingInfoList</w:t>
            </w:r>
            <w:r>
              <w:t xml:space="preserve"> in </w:t>
            </w:r>
            <w:r>
              <w:rPr>
                <w:i/>
                <w:iCs/>
              </w:rPr>
              <w:t>SystemInformationBlockType1-BR</w:t>
            </w:r>
            <w:r>
              <w:t>;</w:t>
            </w:r>
          </w:p>
          <w:p>
            <w:pPr>
              <w:pStyle w:val="62"/>
            </w:pPr>
            <w:r>
              <w:t>3&gt;</w:t>
            </w:r>
            <w:r>
              <w:tab/>
            </w:r>
            <w:r>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pPr>
              <w:pStyle w:val="62"/>
              <w:rPr>
                <w:highlight w:val="yellow"/>
              </w:rPr>
            </w:pPr>
            <w:r>
              <w:rPr>
                <w:highlight w:val="yellow"/>
              </w:rPr>
              <w:t>3&gt;</w:t>
            </w:r>
            <w:r>
              <w:rPr>
                <w:highlight w:val="yellow"/>
              </w:rPr>
              <w:tab/>
            </w:r>
            <w:r>
              <w:rPr>
                <w:highlight w:val="yellow"/>
              </w:rPr>
              <w:t>if the UE is a NB-IoT UE:</w:t>
            </w:r>
          </w:p>
          <w:p>
            <w:pPr>
              <w:pStyle w:val="63"/>
            </w:pPr>
            <w:r>
              <w:t>4&gt;</w:t>
            </w:r>
            <w:r>
              <w:rPr>
                <w:highlight w:val="yellow"/>
              </w:rPr>
              <w:tab/>
            </w:r>
            <w:r>
              <w:rPr>
                <w:highlight w:val="yellow"/>
                <w:lang w:eastAsia="zh-CN"/>
              </w:rPr>
              <w:t xml:space="preserve">the SI-window starts at the subframe #0 in the radio frame for which (H-SFN * 1024 + SFN) mod </w:t>
            </w:r>
            <w:r>
              <w:rPr>
                <w:i/>
                <w:highlight w:val="yellow"/>
                <w:lang w:eastAsia="zh-CN"/>
              </w:rPr>
              <w:t>T</w:t>
            </w:r>
            <w:r>
              <w:rPr>
                <w:highlight w:val="yellow"/>
                <w:lang w:eastAsia="zh-CN"/>
              </w:rPr>
              <w:t xml:space="preserve"> = FLOOR(</w:t>
            </w:r>
            <w:r>
              <w:rPr>
                <w:i/>
                <w:iCs/>
                <w:highlight w:val="yellow"/>
                <w:lang w:eastAsia="zh-CN"/>
              </w:rPr>
              <w:t>x</w:t>
            </w:r>
            <w:r>
              <w:rPr>
                <w:highlight w:val="yellow"/>
                <w:lang w:eastAsia="zh-CN"/>
              </w:rPr>
              <w:t xml:space="preserve">/10) + Offset, where </w:t>
            </w:r>
            <w:r>
              <w:rPr>
                <w:i/>
                <w:highlight w:val="yellow"/>
                <w:lang w:eastAsia="zh-CN"/>
              </w:rPr>
              <w:t>T</w:t>
            </w:r>
            <w:r>
              <w:rPr>
                <w:highlight w:val="yellow"/>
                <w:lang w:eastAsia="zh-CN"/>
              </w:rPr>
              <w:t xml:space="preserve"> is the </w:t>
            </w:r>
            <w:r>
              <w:rPr>
                <w:i/>
                <w:iCs/>
                <w:highlight w:val="yellow"/>
                <w:lang w:eastAsia="zh-CN"/>
              </w:rPr>
              <w:t>si-Periodicity</w:t>
            </w:r>
            <w:r>
              <w:rPr>
                <w:highlight w:val="yellow"/>
                <w:lang w:eastAsia="zh-CN"/>
              </w:rPr>
              <w:t xml:space="preserve"> of the concerned SI message and, Offset is the offset of the start of the SI-Window (</w:t>
            </w:r>
            <w:r>
              <w:rPr>
                <w:i/>
                <w:highlight w:val="yellow"/>
                <w:lang w:eastAsia="zh-CN"/>
              </w:rPr>
              <w:t>si-RadioFrameOffset</w:t>
            </w:r>
            <w:r>
              <w:rPr>
                <w:highlight w:val="yellow"/>
                <w:lang w:eastAsia="zh-CN"/>
              </w:rPr>
              <w:t>);</w:t>
            </w:r>
          </w:p>
          <w:p>
            <w:pPr>
              <w:pStyle w:val="60"/>
              <w:numPr>
                <w:ilvl w:val="0"/>
                <w:numId w:val="0"/>
              </w:numPr>
              <w:ind w:left="284" w:leftChars="0"/>
              <w:rPr>
                <w:rFonts w:hint="default" w:eastAsiaTheme="minorEastAsia"/>
                <w:b w:val="0"/>
                <w:bCs w:val="0"/>
                <w:sz w:val="20"/>
                <w:szCs w:val="20"/>
                <w:vertAlign w:val="baseline"/>
                <w:lang w:val="en-US" w:eastAsia="zh-CN"/>
              </w:rPr>
            </w:pPr>
            <w:r>
              <w:rPr>
                <w:rFonts w:hint="eastAsia" w:eastAsia="宋体"/>
                <w:highlight w:val="lightGray"/>
                <w:lang w:val="en-US" w:eastAsia="zh-CN"/>
              </w:rPr>
              <w:t>&lt;&lt;omitted&gt;&gt;</w:t>
            </w:r>
          </w:p>
        </w:tc>
      </w:tr>
    </w:tbl>
    <w:p>
      <w:pPr>
        <w:pStyle w:val="60"/>
        <w:spacing w:after="0"/>
        <w:ind w:left="0" w:firstLine="0"/>
      </w:pPr>
    </w:p>
    <w:p>
      <w:pPr>
        <w:pStyle w:val="60"/>
        <w:spacing w:after="0"/>
        <w:ind w:left="0" w:firstLine="0"/>
        <w:rPr>
          <w:rFonts w:hint="eastAsia" w:eastAsiaTheme="minorEastAsia"/>
          <w:b w:val="0"/>
          <w:bCs w:val="0"/>
          <w:sz w:val="20"/>
          <w:szCs w:val="20"/>
          <w:lang w:val="en-US" w:eastAsia="zh-CN"/>
        </w:rPr>
      </w:pPr>
      <w:r>
        <w:drawing>
          <wp:inline distT="0" distB="0" distL="114300" distR="114300">
            <wp:extent cx="6114415" cy="440690"/>
            <wp:effectExtent l="0" t="0" r="63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4415" cy="440690"/>
                    </a:xfrm>
                    <a:prstGeom prst="rect">
                      <a:avLst/>
                    </a:prstGeom>
                    <a:noFill/>
                    <a:ln>
                      <a:noFill/>
                    </a:ln>
                  </pic:spPr>
                </pic:pic>
              </a:graphicData>
            </a:graphic>
          </wp:inline>
        </w:drawing>
      </w:r>
    </w:p>
    <w:p>
      <w:pPr>
        <w:pStyle w:val="60"/>
        <w:spacing w:after="0"/>
        <w:ind w:left="0" w:firstLine="0"/>
        <w:rPr>
          <w:rFonts w:hint="default" w:eastAsia="宋体"/>
          <w:i w:val="0"/>
          <w:iCs w:val="0"/>
          <w:lang w:val="en-US" w:eastAsia="zh-CN"/>
        </w:rPr>
      </w:pPr>
      <w:r>
        <w:rPr>
          <w:rFonts w:hint="eastAsia" w:eastAsiaTheme="minorEastAsia"/>
          <w:b w:val="0"/>
          <w:bCs w:val="0"/>
          <w:sz w:val="20"/>
          <w:szCs w:val="20"/>
          <w:lang w:val="en-US" w:eastAsia="zh-CN"/>
        </w:rPr>
        <w:t xml:space="preserve">However, for NB-IoT TDD mode, the start calculation of SI-window needs to take the new TDD pattern into account. For example, the input parameter x affected by the </w:t>
      </w:r>
      <w:r>
        <w:rPr>
          <w:i/>
          <w:iCs/>
        </w:rPr>
        <w:t>si-WindowLength</w:t>
      </w:r>
      <w:r>
        <w:rPr>
          <w:rFonts w:hint="eastAsia" w:eastAsia="宋体"/>
          <w:i/>
          <w:iCs/>
          <w:lang w:val="en-US" w:eastAsia="zh-CN"/>
        </w:rPr>
        <w:t xml:space="preserve"> </w:t>
      </w:r>
      <w:r>
        <w:rPr>
          <w:rFonts w:hint="eastAsia" w:eastAsia="宋体"/>
          <w:i w:val="0"/>
          <w:iCs w:val="0"/>
          <w:lang w:val="en-US" w:eastAsia="zh-CN"/>
        </w:rPr>
        <w:t xml:space="preserve">whose value range may not enough for the new TDD pattern. And </w:t>
      </w:r>
      <w:r>
        <w:rPr>
          <w:rFonts w:hint="eastAsia" w:eastAsia="宋体"/>
          <w:szCs w:val="20"/>
          <w:lang w:val="en-US" w:eastAsia="zh-CN"/>
        </w:rPr>
        <w:t xml:space="preserve">based on the agreement of RAN1 #119, </w:t>
      </w:r>
      <w:r>
        <w:rPr>
          <w:szCs w:val="20"/>
        </w:rPr>
        <w:t>all downlink NB-IoT channels/signals in a cell can only use one of the downlink slots in the TDD frame structure (DL1, DL2, DL3 or DL4) across 90ms periods</w:t>
      </w:r>
      <w:r>
        <w:rPr>
          <w:rFonts w:hint="eastAsia" w:eastAsia="宋体"/>
          <w:szCs w:val="20"/>
          <w:lang w:val="en-US" w:eastAsia="zh-CN"/>
        </w:rPr>
        <w:t xml:space="preserve"> (Iridium TDMA structure is shown in figure 1), which would lead to that </w:t>
      </w:r>
      <w:r>
        <w:rPr>
          <w:rFonts w:hint="eastAsia" w:eastAsia="宋体"/>
          <w:i w:val="0"/>
          <w:iCs w:val="0"/>
          <w:lang w:val="en-US" w:eastAsia="zh-CN"/>
        </w:rPr>
        <w:t xml:space="preserve">the actual calculated subframe #0 may not be used. Therefore we need to discuss the impacts for SI acquisition based on the new TDD pattern. </w:t>
      </w:r>
    </w:p>
    <w:p>
      <w:pPr>
        <w:pStyle w:val="60"/>
        <w:spacing w:after="0"/>
        <w:ind w:left="0" w:firstLine="0"/>
        <w:jc w:val="center"/>
      </w:pPr>
      <w:r>
        <w:drawing>
          <wp:inline distT="0" distB="0" distL="0" distR="0">
            <wp:extent cx="4756150" cy="697230"/>
            <wp:effectExtent l="0" t="0" r="6350" b="7620"/>
            <wp:docPr id="1025"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descr="A black rectangular object with black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l="1900" t="4015" r="1691" b="17401"/>
                    <a:stretch>
                      <a:fillRect/>
                    </a:stretch>
                  </pic:blipFill>
                  <pic:spPr>
                    <a:xfrm>
                      <a:off x="0" y="0"/>
                      <a:ext cx="4756150" cy="697230"/>
                    </a:xfrm>
                    <a:prstGeom prst="rect">
                      <a:avLst/>
                    </a:prstGeom>
                    <a:noFill/>
                    <a:ln>
                      <a:noFill/>
                    </a:ln>
                  </pic:spPr>
                </pic:pic>
              </a:graphicData>
            </a:graphic>
          </wp:inline>
        </w:drawing>
      </w:r>
    </w:p>
    <w:p>
      <w:pPr>
        <w:pStyle w:val="60"/>
        <w:spacing w:after="0"/>
        <w:ind w:left="0" w:firstLine="0"/>
        <w:jc w:val="center"/>
        <w:rPr>
          <w:rFonts w:hint="default" w:eastAsia="宋体"/>
          <w:b/>
          <w:bCs/>
          <w:lang w:val="en-US" w:eastAsia="zh-CN"/>
        </w:rPr>
      </w:pPr>
      <w:r>
        <w:rPr>
          <w:rFonts w:hint="eastAsia" w:eastAsia="宋体"/>
          <w:b/>
          <w:bCs/>
          <w:lang w:val="en-US" w:eastAsia="zh-CN"/>
        </w:rPr>
        <w:t>Figure 1 Legacy system with TDD pattern deployed in the 1616-1626.5 MHz band</w:t>
      </w:r>
    </w:p>
    <w:p>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4: SI acquisition needs to consider the new TDD pattern.</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 xml:space="preserve">2.2.3 Paging </w:t>
      </w:r>
    </w:p>
    <w:p>
      <w:r>
        <w:rPr>
          <w:rFonts w:hint="eastAsia" w:eastAsiaTheme="minorEastAsia"/>
          <w:b w:val="0"/>
          <w:bCs w:val="0"/>
          <w:sz w:val="20"/>
          <w:szCs w:val="20"/>
          <w:lang w:val="en-US" w:eastAsia="zh-CN"/>
        </w:rPr>
        <w:t xml:space="preserve">Per the existing TS 36.304, one Paging Frame (PF) is one Radio Frame, which may contain one or multiple Paging Occasion(s). PO, PF are </w:t>
      </w:r>
      <w:r>
        <w:t>determined by following formula: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0"/>
            </w:pPr>
            <w:r>
              <w:t>PF is given by following equation:</w:t>
            </w:r>
          </w:p>
          <w:p>
            <w:pPr>
              <w:pStyle w:val="61"/>
            </w:pPr>
            <w:r>
              <w:t>SFN mod T= (T div N)*(UE_ID mod N)</w:t>
            </w:r>
          </w:p>
          <w:p>
            <w:pPr>
              <w:pStyle w:val="60"/>
            </w:pPr>
            <w:r>
              <w:t>Index i_s pointing to PO from subframe pattern defined in 7.2 will be derived from following calculation:</w:t>
            </w:r>
          </w:p>
          <w:p>
            <w:pPr>
              <w:pStyle w:val="61"/>
            </w:pPr>
            <w:r>
              <w:t>i_s = floor(UE_ID/N) mod Ns</w:t>
            </w:r>
          </w:p>
          <w:p>
            <w:pPr>
              <w:pStyle w:val="61"/>
              <w:ind w:left="0" w:leftChars="0" w:firstLine="0" w:firstLineChars="0"/>
              <w:rPr>
                <w:rFonts w:hint="eastAsia" w:eastAsia="宋体"/>
                <w:lang w:val="en-US" w:eastAsia="zh-CN"/>
              </w:rPr>
            </w:pPr>
            <w:r>
              <w:t>Parameters</w:t>
            </w:r>
            <w:r>
              <w:rPr>
                <w:rFonts w:hint="eastAsia" w:eastAsia="宋体"/>
                <w:lang w:val="en-US" w:eastAsia="zh-CN"/>
              </w:rPr>
              <w:t xml:space="preserve"> u</w:t>
            </w:r>
            <w:r>
              <w:t>sed for the calculation of the PF</w:t>
            </w:r>
            <w:r>
              <w:rPr>
                <w:lang w:eastAsia="zh-CN"/>
              </w:rPr>
              <w:t>,</w:t>
            </w:r>
            <w:r>
              <w:t xml:space="preserve"> i_s</w:t>
            </w:r>
            <w:r>
              <w:rPr>
                <w:rFonts w:hint="eastAsia" w:eastAsia="宋体"/>
                <w:lang w:val="en-US" w:eastAsia="zh-CN"/>
              </w:rPr>
              <w:t>:</w:t>
            </w:r>
          </w:p>
          <w:p>
            <w:pPr>
              <w:pStyle w:val="60"/>
              <w:rPr>
                <w:lang w:eastAsia="ko-KR"/>
              </w:rPr>
            </w:pPr>
            <w:r>
              <w:t>-</w:t>
            </w:r>
            <w:r>
              <w:tab/>
            </w:r>
            <w:r>
              <w:t xml:space="preserve">T: </w:t>
            </w:r>
            <w:r>
              <w:rPr>
                <w:lang w:eastAsia="ko-KR"/>
              </w:rPr>
              <w:t>DRX cycle of the UE.</w:t>
            </w:r>
          </w:p>
          <w:p>
            <w:pPr>
              <w:pStyle w:val="60"/>
            </w:pPr>
            <w:r>
              <w:t>-</w:t>
            </w:r>
            <w:r>
              <w:tab/>
            </w:r>
            <w:r>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pPr>
              <w:pStyle w:val="60"/>
            </w:pPr>
            <w:r>
              <w:t>-</w:t>
            </w:r>
            <w:r>
              <w:tab/>
            </w:r>
            <w:r>
              <w:t>N: min(T,nB)</w:t>
            </w:r>
          </w:p>
          <w:p>
            <w:pPr>
              <w:pStyle w:val="60"/>
              <w:rPr>
                <w:rFonts w:hint="default" w:eastAsia="宋体"/>
                <w:lang w:val="en-US" w:eastAsia="zh-CN"/>
              </w:rPr>
            </w:pPr>
            <w:r>
              <w:t>-</w:t>
            </w:r>
            <w:r>
              <w:tab/>
            </w:r>
            <w:r>
              <w:t>Ns: max(1,nB/T)</w:t>
            </w:r>
          </w:p>
        </w:tc>
      </w:tr>
    </w:tbl>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The available paging occasion location is provided in 7.2, subframe 9, {4,9} , {0,4,5,9} for Ns=1,2,4 respectively. Based on the last RAN1 meeting agreement, the downlink subframes within D=8 are fixed to [3 4 5 6 7 8 9 0] (across two consecutive radio frames). Then considering the actual available DL subframes, some calculated PO may fall into inactive DL subframes, which could be postponed directly to next available PO. </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The DL subframes of the new TDD pattern could cover the existing paging occasion located subframes.</w:t>
      </w:r>
    </w:p>
    <w:p>
      <w:pPr>
        <w:pStyle w:val="60"/>
        <w:spacing w:after="0"/>
        <w:ind w:left="0" w:firstLine="0"/>
        <w:rPr>
          <w:rFonts w:hint="eastAsia" w:eastAsia="宋体"/>
          <w:b/>
          <w:bCs/>
          <w:lang w:val="en-US" w:eastAsia="zh-CN"/>
        </w:rPr>
      </w:pPr>
      <w:r>
        <w:rPr>
          <w:rFonts w:hint="eastAsia" w:eastAsia="宋体"/>
          <w:b/>
          <w:bCs/>
          <w:lang w:val="en-US" w:eastAsia="zh-CN"/>
        </w:rPr>
        <w:t>Proposal 4: Enhancements for PO may be not needed, and it could be postponed directly to next actual available PO if the calculated PO falls into inactive DL subframes.</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2.2.4 Measurement Gap</w:t>
      </w:r>
    </w:p>
    <w:p>
      <w:r>
        <w:rPr>
          <w:rFonts w:hint="eastAsia" w:eastAsia="宋体"/>
          <w:b w:val="0"/>
          <w:bCs w:val="0"/>
          <w:lang w:val="en-US" w:eastAsia="zh-CN"/>
        </w:rPr>
        <w:t>Based on the current TS 36.133, i</w:t>
      </w:r>
      <w:r>
        <w:t>n E-UTRA-NR dual connectivity mode, NR - E-UTRA</w:t>
      </w:r>
      <w:r>
        <w:rPr>
          <w:rFonts w:hint="eastAsia" w:eastAsia="宋体"/>
          <w:lang w:val="en-US" w:eastAsia="zh-CN"/>
        </w:rPr>
        <w:t xml:space="preserve"> </w:t>
      </w:r>
      <w:r>
        <w:t>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pPr>
        <w:pStyle w:val="73"/>
      </w:pPr>
      <w:r>
        <w:rPr>
          <w:snapToGrid w:val="0"/>
        </w:rPr>
        <w:t xml:space="preserve">Table 8.1.2.1-1: </w:t>
      </w:r>
      <w:r>
        <w:t>Gap Pattern Configurations supported by the UE</w:t>
      </w:r>
    </w:p>
    <w:tbl>
      <w:tblPr>
        <w:tblStyle w:val="45"/>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820"/>
        <w:gridCol w:w="1777"/>
        <w:gridCol w:w="2438"/>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70"/>
            </w:pPr>
            <w:r>
              <w:t>Gap Pattern Id</w:t>
            </w:r>
          </w:p>
        </w:tc>
        <w:tc>
          <w:tcPr>
            <w:tcW w:w="927" w:type="pct"/>
          </w:tcPr>
          <w:p>
            <w:pPr>
              <w:pStyle w:val="70"/>
            </w:pPr>
            <w:r>
              <w:t>MeasurementGap Length (MGL, ms)</w:t>
            </w:r>
          </w:p>
        </w:tc>
        <w:tc>
          <w:tcPr>
            <w:tcW w:w="905" w:type="pct"/>
          </w:tcPr>
          <w:p>
            <w:pPr>
              <w:pStyle w:val="70"/>
            </w:pPr>
            <w:r>
              <w:t>Measurement Gap Repetition Period</w:t>
            </w:r>
          </w:p>
          <w:p>
            <w:pPr>
              <w:pStyle w:val="70"/>
            </w:pPr>
            <w:r>
              <w:t>(MGRP, ms)</w:t>
            </w:r>
          </w:p>
        </w:tc>
        <w:tc>
          <w:tcPr>
            <w:tcW w:w="1242" w:type="pct"/>
          </w:tcPr>
          <w:p>
            <w:pPr>
              <w:pStyle w:val="70"/>
            </w:pPr>
            <w:r>
              <w:t>Minimum available time for inter-frequency and inter-RAT measurements during 480ms period</w:t>
            </w:r>
          </w:p>
          <w:p>
            <w:pPr>
              <w:pStyle w:val="70"/>
            </w:pPr>
            <w:r>
              <w:t>(Tinter1, ms)</w:t>
            </w:r>
          </w:p>
        </w:tc>
        <w:tc>
          <w:tcPr>
            <w:tcW w:w="1243" w:type="pct"/>
          </w:tcPr>
          <w:p>
            <w:pPr>
              <w:pStyle w:val="70"/>
            </w:pPr>
            <w:r>
              <w:t>Measurement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0</w:t>
            </w:r>
          </w:p>
        </w:tc>
        <w:tc>
          <w:tcPr>
            <w:tcW w:w="927" w:type="pct"/>
          </w:tcPr>
          <w:p>
            <w:pPr>
              <w:pStyle w:val="69"/>
              <w:rPr>
                <w:snapToGrid w:val="0"/>
              </w:rPr>
            </w:pPr>
            <w:r>
              <w:rPr>
                <w:snapToGrid w:val="0"/>
              </w:rPr>
              <w:t>6</w:t>
            </w:r>
          </w:p>
        </w:tc>
        <w:tc>
          <w:tcPr>
            <w:tcW w:w="905" w:type="pct"/>
          </w:tcPr>
          <w:p>
            <w:pPr>
              <w:pStyle w:val="69"/>
              <w:rPr>
                <w:snapToGrid w:val="0"/>
              </w:rPr>
            </w:pPr>
            <w:r>
              <w:rPr>
                <w:snapToGrid w:val="0"/>
              </w:rPr>
              <w:t>40</w:t>
            </w:r>
          </w:p>
        </w:tc>
        <w:tc>
          <w:tcPr>
            <w:tcW w:w="1242" w:type="pct"/>
          </w:tcPr>
          <w:p>
            <w:pPr>
              <w:pStyle w:val="69"/>
            </w:pPr>
            <w:r>
              <w:t>60</w:t>
            </w:r>
          </w:p>
        </w:tc>
        <w:tc>
          <w:tcPr>
            <w:tcW w:w="1243" w:type="pct"/>
          </w:tcPr>
          <w:p>
            <w:pPr>
              <w:pStyle w:val="69"/>
              <w:rPr>
                <w:snapToGrid w:val="0"/>
              </w:rPr>
            </w:pPr>
            <w:r>
              <w:t>Inter-Frequency E-UTRAN FDD and TDD, UTRAN FDD, GERAN, LCR TDD, HRPD, CDMA2000 1x,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1</w:t>
            </w:r>
          </w:p>
        </w:tc>
        <w:tc>
          <w:tcPr>
            <w:tcW w:w="927" w:type="pct"/>
          </w:tcPr>
          <w:p>
            <w:pPr>
              <w:pStyle w:val="69"/>
              <w:rPr>
                <w:snapToGrid w:val="0"/>
              </w:rPr>
            </w:pPr>
            <w:r>
              <w:rPr>
                <w:snapToGrid w:val="0"/>
              </w:rPr>
              <w:t>6</w:t>
            </w:r>
          </w:p>
        </w:tc>
        <w:tc>
          <w:tcPr>
            <w:tcW w:w="905" w:type="pct"/>
          </w:tcPr>
          <w:p>
            <w:pPr>
              <w:pStyle w:val="69"/>
              <w:rPr>
                <w:snapToGrid w:val="0"/>
              </w:rPr>
            </w:pPr>
            <w:r>
              <w:rPr>
                <w:snapToGrid w:val="0"/>
              </w:rPr>
              <w:t>80</w:t>
            </w:r>
          </w:p>
        </w:tc>
        <w:tc>
          <w:tcPr>
            <w:tcW w:w="1242" w:type="pct"/>
          </w:tcPr>
          <w:p>
            <w:pPr>
              <w:pStyle w:val="69"/>
            </w:pPr>
            <w:r>
              <w:t>30</w:t>
            </w:r>
          </w:p>
        </w:tc>
        <w:tc>
          <w:tcPr>
            <w:tcW w:w="1243" w:type="pct"/>
          </w:tcPr>
          <w:p>
            <w:pPr>
              <w:pStyle w:val="69"/>
              <w:rPr>
                <w:snapToGrid w:val="0"/>
              </w:rPr>
            </w:pPr>
            <w:r>
              <w:t>Inter-Frequency E-UTRAN FDD and TDD, UTRAN FDD, GERAN, LCR TDD, HRPD, CDMA2000 1x</w:t>
            </w:r>
            <w:r>
              <w:rPr>
                <w:rFonts w:hint="eastAsia"/>
              </w:rPr>
              <w:t>,</w:t>
            </w:r>
            <w:r>
              <w:t xml:space="preserve">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2</w:t>
            </w:r>
          </w:p>
        </w:tc>
        <w:tc>
          <w:tcPr>
            <w:tcW w:w="927" w:type="pct"/>
          </w:tcPr>
          <w:p>
            <w:pPr>
              <w:pStyle w:val="69"/>
              <w:rPr>
                <w:snapToGrid w:val="0"/>
              </w:rPr>
            </w:pPr>
            <w:r>
              <w:rPr>
                <w:snapToGrid w:val="0"/>
              </w:rPr>
              <w:t>3</w:t>
            </w:r>
          </w:p>
        </w:tc>
        <w:tc>
          <w:tcPr>
            <w:tcW w:w="905" w:type="pct"/>
          </w:tcPr>
          <w:p>
            <w:pPr>
              <w:pStyle w:val="69"/>
              <w:rPr>
                <w:snapToGrid w:val="0"/>
              </w:rPr>
            </w:pPr>
            <w:r>
              <w:rPr>
                <w:snapToGrid w:val="0"/>
              </w:rPr>
              <w:t>40</w:t>
            </w:r>
          </w:p>
        </w:tc>
        <w:tc>
          <w:tcPr>
            <w:tcW w:w="1242" w:type="pct"/>
          </w:tcPr>
          <w:p>
            <w:pPr>
              <w:pStyle w:val="69"/>
            </w:pPr>
            <w:r>
              <w:t>24</w:t>
            </w:r>
            <w:r>
              <w:rPr>
                <w:vertAlign w:val="superscript"/>
              </w:rPr>
              <w:t>NOTE 1,2</w:t>
            </w:r>
          </w:p>
        </w:tc>
        <w:tc>
          <w:tcPr>
            <w:tcW w:w="1243" w:type="pct"/>
          </w:tcPr>
          <w:p>
            <w:pPr>
              <w:pStyle w:val="69"/>
            </w:pPr>
            <w:r>
              <w:t>Inter-Frequency E-UTRAN FDD and TDD for cells with time difference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3</w:t>
            </w:r>
          </w:p>
        </w:tc>
        <w:tc>
          <w:tcPr>
            <w:tcW w:w="927" w:type="pct"/>
          </w:tcPr>
          <w:p>
            <w:pPr>
              <w:pStyle w:val="69"/>
              <w:rPr>
                <w:snapToGrid w:val="0"/>
              </w:rPr>
            </w:pPr>
            <w:r>
              <w:rPr>
                <w:snapToGrid w:val="0"/>
              </w:rPr>
              <w:t>3</w:t>
            </w:r>
          </w:p>
        </w:tc>
        <w:tc>
          <w:tcPr>
            <w:tcW w:w="905" w:type="pct"/>
          </w:tcPr>
          <w:p>
            <w:pPr>
              <w:pStyle w:val="69"/>
              <w:rPr>
                <w:snapToGrid w:val="0"/>
              </w:rPr>
            </w:pPr>
            <w:r>
              <w:rPr>
                <w:snapToGrid w:val="0"/>
              </w:rPr>
              <w:t>80</w:t>
            </w:r>
          </w:p>
        </w:tc>
        <w:tc>
          <w:tcPr>
            <w:tcW w:w="1242" w:type="pct"/>
          </w:tcPr>
          <w:p>
            <w:pPr>
              <w:pStyle w:val="69"/>
            </w:pPr>
            <w:r>
              <w:t>12</w:t>
            </w:r>
            <w:r>
              <w:rPr>
                <w:vertAlign w:val="superscript"/>
              </w:rPr>
              <w:t>NOTE 1,2</w:t>
            </w:r>
          </w:p>
        </w:tc>
        <w:tc>
          <w:tcPr>
            <w:tcW w:w="1243" w:type="pct"/>
          </w:tcPr>
          <w:p>
            <w:pPr>
              <w:pStyle w:val="69"/>
            </w:pPr>
            <w:r>
              <w:t>Inter-Frequency E-UTRAN FDD and TDD for cells with time difference according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4</w:t>
            </w:r>
          </w:p>
        </w:tc>
        <w:tc>
          <w:tcPr>
            <w:tcW w:w="927" w:type="pct"/>
          </w:tcPr>
          <w:p>
            <w:pPr>
              <w:pStyle w:val="69"/>
              <w:rPr>
                <w:snapToGrid w:val="0"/>
              </w:rPr>
            </w:pPr>
            <w:r>
              <w:rPr>
                <w:rFonts w:cs="Arial"/>
                <w:snapToGrid w:val="0"/>
                <w:lang w:eastAsia="ko-KR"/>
              </w:rPr>
              <w:t>6</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cs="Arial"/>
                <w:lang w:eastAsia="ko-KR"/>
              </w:rPr>
              <w:t>120</w:t>
            </w:r>
            <w:r>
              <w:rPr>
                <w:rFonts w:cs="Arial"/>
                <w:vertAlign w:val="superscript"/>
                <w:lang w:eastAsia="ko-KR"/>
              </w:rPr>
              <w:t xml:space="preserve"> Note </w:t>
            </w:r>
            <w:r>
              <w:rPr>
                <w:rFonts w:eastAsia="宋体" w:cs="Arial"/>
                <w:vertAlign w:val="superscript"/>
              </w:rPr>
              <w:t>1</w:t>
            </w:r>
          </w:p>
        </w:tc>
        <w:tc>
          <w:tcPr>
            <w:tcW w:w="1243" w:type="pct"/>
          </w:tcPr>
          <w:p>
            <w:pPr>
              <w:pStyle w:val="69"/>
            </w:pPr>
            <w:r>
              <w:rPr>
                <w:rFonts w:cs="Arial"/>
              </w:rPr>
              <w:t>inter-RAT NR</w:t>
            </w:r>
            <w:bookmarkStart w:id="15" w:name="OLE_LINK22"/>
            <w:r>
              <w:rPr>
                <w:rFonts w:cs="Arial"/>
                <w:sz w:val="20"/>
                <w:lang w:eastAsia="ko-KR"/>
              </w:rPr>
              <w:t xml:space="preserve">, </w:t>
            </w:r>
            <w:bookmarkEnd w:id="15"/>
            <w:r>
              <w:rPr>
                <w:rFonts w:cs="Arial"/>
                <w:lang w:eastAsia="ko-KR"/>
              </w:rPr>
              <w:t>Inter-Frequency E-UTRAN FDD and TDD</w:t>
            </w:r>
            <w:r>
              <w:rPr>
                <w:rFonts w:cs="Arial"/>
                <w:vertAlign w:val="superscript"/>
                <w:lang w:eastAsia="ko-KR"/>
              </w:rPr>
              <w:t xml:space="preserve"> Note</w:t>
            </w:r>
            <w:r>
              <w:rPr>
                <w:rFonts w:eastAsia="宋体" w:cs="Arial"/>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5</w:t>
            </w:r>
          </w:p>
        </w:tc>
        <w:tc>
          <w:tcPr>
            <w:tcW w:w="927" w:type="pct"/>
          </w:tcPr>
          <w:p>
            <w:pPr>
              <w:pStyle w:val="69"/>
              <w:rPr>
                <w:snapToGrid w:val="0"/>
              </w:rPr>
            </w:pPr>
            <w:r>
              <w:rPr>
                <w:snapToGrid w:val="0"/>
              </w:rPr>
              <w:t>6</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6</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hint="eastAsia"/>
              </w:rPr>
              <w:t>72</w:t>
            </w:r>
            <w:r>
              <w:rPr>
                <w:vertAlign w:val="superscript"/>
              </w:rPr>
              <w:t xml:space="preserve"> Note</w:t>
            </w:r>
            <w:r>
              <w:rPr>
                <w:rFonts w:hint="eastAsia" w:eastAsia="宋体"/>
                <w:vertAlign w:val="superscript"/>
              </w:rPr>
              <w:t xml:space="preserve"> 1, 5</w:t>
            </w:r>
            <w:r>
              <w:rPr>
                <w:rFonts w:eastAsia="宋体"/>
                <w:vertAlign w:val="superscript"/>
              </w:rPr>
              <w:t>, 7</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7</w:t>
            </w:r>
          </w:p>
        </w:tc>
        <w:tc>
          <w:tcPr>
            <w:tcW w:w="927" w:type="pct"/>
          </w:tcPr>
          <w:p>
            <w:pPr>
              <w:pStyle w:val="69"/>
              <w:rPr>
                <w:snapToGrid w:val="0"/>
              </w:rPr>
            </w:pPr>
            <w:r>
              <w:rPr>
                <w:snapToGrid w:val="0"/>
              </w:rPr>
              <w:t>4</w:t>
            </w:r>
          </w:p>
        </w:tc>
        <w:tc>
          <w:tcPr>
            <w:tcW w:w="905" w:type="pct"/>
          </w:tcPr>
          <w:p>
            <w:pPr>
              <w:pStyle w:val="69"/>
              <w:rPr>
                <w:snapToGrid w:val="0"/>
              </w:rPr>
            </w:pPr>
            <w:r>
              <w:rPr>
                <w:snapToGrid w:val="0"/>
              </w:rPr>
              <w:t>40</w:t>
            </w:r>
          </w:p>
        </w:tc>
        <w:tc>
          <w:tcPr>
            <w:tcW w:w="1242" w:type="pct"/>
          </w:tcPr>
          <w:p>
            <w:pPr>
              <w:pStyle w:val="69"/>
              <w:rPr>
                <w:rFonts w:eastAsia="Malgun Gothic"/>
              </w:rPr>
            </w:pPr>
            <w:r>
              <w:rPr>
                <w:rFonts w:hint="eastAsia"/>
              </w:rPr>
              <w:t>36</w:t>
            </w:r>
            <w:r>
              <w:rPr>
                <w:vertAlign w:val="superscript"/>
              </w:rPr>
              <w:t xml:space="preserve"> Note </w:t>
            </w:r>
            <w:r>
              <w:rPr>
                <w:rFonts w:hint="eastAsia" w:eastAsia="宋体"/>
                <w:vertAlign w:val="superscript"/>
              </w:rPr>
              <w:t>1, 5</w:t>
            </w:r>
            <w:r>
              <w:rPr>
                <w:rFonts w:eastAsia="宋体"/>
                <w:vertAlign w:val="superscript"/>
              </w:rPr>
              <w:t>, 8</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8</w:t>
            </w:r>
          </w:p>
        </w:tc>
        <w:tc>
          <w:tcPr>
            <w:tcW w:w="927" w:type="pct"/>
          </w:tcPr>
          <w:p>
            <w:pPr>
              <w:pStyle w:val="69"/>
              <w:rPr>
                <w:snapToGrid w:val="0"/>
              </w:rPr>
            </w:pPr>
            <w:r>
              <w:rPr>
                <w:snapToGrid w:val="0"/>
              </w:rPr>
              <w:t>4</w:t>
            </w:r>
          </w:p>
        </w:tc>
        <w:tc>
          <w:tcPr>
            <w:tcW w:w="905" w:type="pct"/>
          </w:tcPr>
          <w:p>
            <w:pPr>
              <w:pStyle w:val="69"/>
              <w:rPr>
                <w:snapToGrid w:val="0"/>
              </w:rPr>
            </w:pPr>
            <w:r>
              <w:rPr>
                <w:snapToGrid w:val="0"/>
              </w:rPr>
              <w:t>80</w:t>
            </w:r>
          </w:p>
        </w:tc>
        <w:tc>
          <w:tcPr>
            <w:tcW w:w="1242" w:type="pct"/>
          </w:tcPr>
          <w:p>
            <w:pPr>
              <w:pStyle w:val="69"/>
              <w:rPr>
                <w:rFonts w:eastAsia="Malgun Gothic"/>
              </w:rPr>
            </w:pPr>
            <w:r>
              <w:rPr>
                <w:rFonts w:hint="eastAsia"/>
              </w:rPr>
              <w:t>18</w:t>
            </w:r>
            <w:r>
              <w:rPr>
                <w:vertAlign w:val="superscript"/>
              </w:rPr>
              <w:t xml:space="preserve">Note </w:t>
            </w:r>
            <w:r>
              <w:rPr>
                <w:rFonts w:hint="eastAsia" w:eastAsia="宋体"/>
                <w:vertAlign w:val="superscript"/>
              </w:rPr>
              <w:t>1, 5</w:t>
            </w:r>
            <w:r>
              <w:rPr>
                <w:rFonts w:eastAsia="宋体"/>
                <w:vertAlign w:val="superscript"/>
              </w:rPr>
              <w:t>, 9</w:t>
            </w:r>
          </w:p>
        </w:tc>
        <w:tc>
          <w:tcPr>
            <w:tcW w:w="1243" w:type="pct"/>
          </w:tcPr>
          <w:p>
            <w:pPr>
              <w:pStyle w:val="69"/>
            </w:pPr>
            <w:r>
              <w:t>inter-RAT NR</w:t>
            </w:r>
            <w:r>
              <w:rPr>
                <w:rFonts w:hint="eastAsia" w:ascii="Times New Roman" w:hAnsi="Times New Roman"/>
                <w:sz w:val="20"/>
              </w:rPr>
              <w:t>,</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9</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10</w:t>
            </w:r>
          </w:p>
        </w:tc>
        <w:tc>
          <w:tcPr>
            <w:tcW w:w="927" w:type="pct"/>
          </w:tcPr>
          <w:p>
            <w:pPr>
              <w:pStyle w:val="69"/>
              <w:rPr>
                <w:snapToGrid w:val="0"/>
              </w:rPr>
            </w:pPr>
            <w:r>
              <w:rPr>
                <w:snapToGrid w:val="0"/>
              </w:rPr>
              <w:t>3</w:t>
            </w:r>
          </w:p>
        </w:tc>
        <w:tc>
          <w:tcPr>
            <w:tcW w:w="905" w:type="pct"/>
          </w:tcPr>
          <w:p>
            <w:pPr>
              <w:pStyle w:val="69"/>
              <w:rPr>
                <w:snapToGrid w:val="0"/>
              </w:rPr>
            </w:pPr>
            <w:r>
              <w:rPr>
                <w:snapToGrid w:val="0"/>
              </w:rPr>
              <w:t>20</w:t>
            </w:r>
          </w:p>
        </w:tc>
        <w:tc>
          <w:tcPr>
            <w:tcW w:w="1242" w:type="pct"/>
          </w:tcPr>
          <w:p>
            <w:pPr>
              <w:pStyle w:val="69"/>
              <w:rPr>
                <w:rFonts w:eastAsia="Malgun Gothic"/>
              </w:rPr>
            </w:pPr>
            <w:r>
              <w:rPr>
                <w:rFonts w:hint="eastAsia"/>
              </w:rPr>
              <w:t>48</w:t>
            </w:r>
            <w:r>
              <w:rPr>
                <w:vertAlign w:val="superscript"/>
              </w:rPr>
              <w:t xml:space="preserve"> Note </w:t>
            </w:r>
            <w:r>
              <w:rPr>
                <w:rFonts w:hint="eastAsia" w:eastAsia="宋体"/>
                <w:vertAlign w:val="superscript"/>
              </w:rPr>
              <w:t>1, 5</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11</w:t>
            </w:r>
          </w:p>
        </w:tc>
        <w:tc>
          <w:tcPr>
            <w:tcW w:w="927" w:type="pct"/>
          </w:tcPr>
          <w:p>
            <w:pPr>
              <w:pStyle w:val="69"/>
              <w:rPr>
                <w:snapToGrid w:val="0"/>
              </w:rPr>
            </w:pPr>
            <w:r>
              <w:rPr>
                <w:snapToGrid w:val="0"/>
              </w:rPr>
              <w:t>3</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4</w:t>
            </w:r>
          </w:p>
        </w:tc>
        <w:tc>
          <w:tcPr>
            <w:tcW w:w="927" w:type="pct"/>
          </w:tcPr>
          <w:p>
            <w:pPr>
              <w:pStyle w:val="69"/>
              <w:rPr>
                <w:snapToGrid w:val="0"/>
              </w:rPr>
            </w:pPr>
            <w:r>
              <w:rPr>
                <w:rFonts w:hint="eastAsia"/>
                <w:snapToGrid w:val="0"/>
              </w:rPr>
              <w:t>1</w:t>
            </w:r>
            <w:r>
              <w:rPr>
                <w:snapToGrid w:val="0"/>
              </w:rPr>
              <w:t>0</w:t>
            </w:r>
          </w:p>
        </w:tc>
        <w:tc>
          <w:tcPr>
            <w:tcW w:w="905" w:type="pct"/>
          </w:tcPr>
          <w:p>
            <w:pPr>
              <w:pStyle w:val="69"/>
              <w:rPr>
                <w:snapToGrid w:val="0"/>
              </w:rPr>
            </w:pPr>
            <w:r>
              <w:rPr>
                <w:rFonts w:hint="eastAsia"/>
                <w:snapToGrid w:val="0"/>
              </w:rPr>
              <w:t>8</w:t>
            </w:r>
            <w:r>
              <w:rPr>
                <w:snapToGrid w:val="0"/>
              </w:rPr>
              <w:t>0</w:t>
            </w:r>
          </w:p>
        </w:tc>
        <w:tc>
          <w:tcPr>
            <w:tcW w:w="1242" w:type="pct"/>
          </w:tcPr>
          <w:p>
            <w:pPr>
              <w:pStyle w:val="69"/>
            </w:pPr>
            <w:r>
              <w:rPr>
                <w:rFonts w:hint="eastAsia"/>
              </w:rPr>
              <w:t>5</w:t>
            </w:r>
            <w:r>
              <w:t>4</w:t>
            </w:r>
            <w:r>
              <w:rPr>
                <w:vertAlign w:val="superscript"/>
              </w:rPr>
              <w:t>Note 1</w:t>
            </w:r>
          </w:p>
        </w:tc>
        <w:tc>
          <w:tcPr>
            <w:tcW w:w="1243" w:type="pct"/>
          </w:tcPr>
          <w:p>
            <w:pPr>
              <w:pStyle w:val="69"/>
            </w:pPr>
            <w:r>
              <w:t>Inter-Frequency E-UTRAN FDD and TDD</w:t>
            </w:r>
            <w:r>
              <w:rPr>
                <w:rFonts w:hint="eastAsia"/>
              </w:rPr>
              <w:t xml:space="preserve"> </w:t>
            </w:r>
            <w:r>
              <w:rPr>
                <w:rFonts w:hint="eastAsia"/>
                <w:vertAlign w:val="superscript"/>
              </w:rPr>
              <w:t>N</w:t>
            </w:r>
            <w:r>
              <w:rPr>
                <w:vertAlign w:val="superscript"/>
              </w:rPr>
              <w:t>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5</w:t>
            </w:r>
          </w:p>
        </w:tc>
        <w:tc>
          <w:tcPr>
            <w:tcW w:w="927" w:type="pct"/>
          </w:tcPr>
          <w:p>
            <w:pPr>
              <w:pStyle w:val="69"/>
              <w:rPr>
                <w:snapToGrid w:val="0"/>
              </w:rPr>
            </w:pPr>
            <w:r>
              <w:rPr>
                <w:rFonts w:hint="eastAsia"/>
                <w:snapToGrid w:val="0"/>
              </w:rPr>
              <w:t>2</w:t>
            </w:r>
            <w:r>
              <w:rPr>
                <w:snapToGrid w:val="0"/>
              </w:rPr>
              <w:t>0</w:t>
            </w:r>
          </w:p>
        </w:tc>
        <w:tc>
          <w:tcPr>
            <w:tcW w:w="905" w:type="pct"/>
          </w:tcPr>
          <w:p>
            <w:pPr>
              <w:pStyle w:val="69"/>
              <w:rPr>
                <w:snapToGrid w:val="0"/>
              </w:rPr>
            </w:pPr>
            <w:r>
              <w:rPr>
                <w:rFonts w:hint="eastAsia"/>
                <w:snapToGrid w:val="0"/>
              </w:rPr>
              <w:t>1</w:t>
            </w:r>
            <w:r>
              <w:rPr>
                <w:snapToGrid w:val="0"/>
              </w:rPr>
              <w:t>60</w:t>
            </w:r>
          </w:p>
        </w:tc>
        <w:tc>
          <w:tcPr>
            <w:tcW w:w="1242" w:type="pct"/>
          </w:tcPr>
          <w:p>
            <w:pPr>
              <w:pStyle w:val="69"/>
            </w:pPr>
            <w:r>
              <w:t>Note 3</w:t>
            </w:r>
          </w:p>
        </w:tc>
        <w:tc>
          <w:tcPr>
            <w:tcW w:w="1243" w:type="pct"/>
          </w:tcPr>
          <w:p>
            <w:pPr>
              <w:pStyle w:val="69"/>
            </w:pPr>
            <w: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pPr>
              <w:pStyle w:val="71"/>
            </w:pPr>
            <w:r>
              <w:t>NOTE 1:</w:t>
            </w:r>
            <w:r>
              <w:rPr>
                <w:rFonts w:cs="Arial"/>
              </w:rPr>
              <w:tab/>
            </w:r>
            <w:r>
              <w:t xml:space="preserve">When determing UE requirements using Tinter1 for GP2, 3, </w:t>
            </w:r>
            <w:r>
              <w:rPr>
                <w:rFonts w:hint="eastAsia" w:eastAsia="宋体"/>
                <w:bCs/>
              </w:rPr>
              <w:t>4, 6, 7, 8, 10</w:t>
            </w:r>
            <w:r>
              <w:rPr>
                <w:rFonts w:eastAsia="宋体"/>
                <w:bCs/>
              </w:rPr>
              <w:t>,</w:t>
            </w:r>
            <w:r>
              <w:t xml:space="preserve"> Tinter1 = </w:t>
            </w:r>
            <w:r>
              <w:rPr>
                <w:rFonts w:cs="Arial"/>
                <w:lang w:eastAsia="ko-KR"/>
              </w:rPr>
              <w:t>60</w:t>
            </w:r>
            <w:r>
              <w:t xml:space="preserve"> for GP2</w:t>
            </w:r>
            <w:r>
              <w:rPr>
                <w:rFonts w:hint="eastAsia" w:eastAsia="宋体"/>
              </w:rPr>
              <w:t>,</w:t>
            </w:r>
            <w:r>
              <w:rPr>
                <w:rFonts w:hint="eastAsia" w:eastAsia="宋体"/>
                <w:bCs/>
              </w:rPr>
              <w:t xml:space="preserve"> GP4, GP6, GP7, GP10</w:t>
            </w:r>
            <w:r>
              <w:t xml:space="preserve"> and Tinter1 = </w:t>
            </w:r>
            <w:r>
              <w:rPr>
                <w:rFonts w:cs="Arial"/>
                <w:lang w:eastAsia="ko-KR"/>
              </w:rPr>
              <w:t>30</w:t>
            </w:r>
            <w:r>
              <w:t xml:space="preserve"> for GP3</w:t>
            </w:r>
            <w:r>
              <w:rPr>
                <w:rFonts w:eastAsia="宋体"/>
              </w:rPr>
              <w:t xml:space="preserve">, </w:t>
            </w:r>
            <w:r>
              <w:rPr>
                <w:rFonts w:eastAsia="宋体"/>
                <w:bCs/>
              </w:rPr>
              <w:t>GP</w:t>
            </w:r>
            <w:r>
              <w:rPr>
                <w:rFonts w:hint="eastAsia" w:eastAsia="宋体"/>
                <w:bCs/>
              </w:rPr>
              <w:t>8</w:t>
            </w:r>
            <w:r>
              <w:t xml:space="preserve"> and GP24 shall be used.</w:t>
            </w:r>
          </w:p>
          <w:p>
            <w:pPr>
              <w:pStyle w:val="71"/>
            </w:pPr>
            <w:r>
              <w:t>NOTE 2:</w:t>
            </w:r>
            <w:r>
              <w:rPr>
                <w:rFonts w:cs="Arial"/>
              </w:rPr>
              <w:tab/>
            </w:r>
            <w:r>
              <w:rPr>
                <w:bCs/>
              </w:rPr>
              <w:t>Void.</w:t>
            </w:r>
          </w:p>
          <w:p>
            <w:pPr>
              <w:pStyle w:val="71"/>
            </w:pPr>
            <w:r>
              <w:t>NOTE 3:</w:t>
            </w:r>
            <w:r>
              <w:rPr>
                <w:rFonts w:cs="Arial"/>
              </w:rPr>
              <w:tab/>
            </w:r>
            <w:r>
              <w:t>This gap pattern can be used only for measurement of NR carriers, and Tinter is not applicable.</w:t>
            </w:r>
          </w:p>
          <w:p>
            <w:pPr>
              <w:pStyle w:val="71"/>
            </w:pPr>
            <w:r>
              <w:t>NOTE 4:</w:t>
            </w:r>
            <w:r>
              <w:rPr>
                <w:rFonts w:cs="Arial"/>
              </w:rPr>
              <w:tab/>
            </w:r>
            <w:r>
              <w:t>Void</w:t>
            </w:r>
          </w:p>
          <w:p>
            <w:pPr>
              <w:pStyle w:val="71"/>
              <w:rPr>
                <w:rFonts w:eastAsia="宋体"/>
                <w:bCs/>
              </w:rPr>
            </w:pPr>
            <w:r>
              <w:rPr>
                <w:rFonts w:hint="eastAsia" w:eastAsia="宋体"/>
              </w:rPr>
              <w:t>NOTE 5:</w:t>
            </w:r>
            <w:r>
              <w:rPr>
                <w:rFonts w:cs="Arial"/>
              </w:rPr>
              <w:tab/>
            </w:r>
            <w:r>
              <w:rPr>
                <w:bCs/>
              </w:rPr>
              <w:t>Void.</w:t>
            </w:r>
          </w:p>
          <w:p>
            <w:pPr>
              <w:pStyle w:val="71"/>
              <w:rPr>
                <w:bCs/>
              </w:rPr>
            </w:pPr>
            <w:r>
              <w:rPr>
                <w:rFonts w:hint="eastAsia" w:eastAsia="宋体"/>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rFonts w:hint="eastAsia"/>
                <w:bCs/>
              </w:rPr>
              <w:t xml:space="preserve">both </w:t>
            </w:r>
            <w:r>
              <w:rPr>
                <w:bCs/>
              </w:rPr>
              <w:t xml:space="preserve">E-UTRA </w:t>
            </w:r>
            <w:r>
              <w:rPr>
                <w:rFonts w:hint="eastAsia" w:eastAsia="宋体"/>
                <w:bCs/>
              </w:rPr>
              <w:t>i</w:t>
            </w:r>
            <w:r>
              <w:rPr>
                <w:bCs/>
              </w:rPr>
              <w:t xml:space="preserve">nter-frequency </w:t>
            </w:r>
            <w:r>
              <w:rPr>
                <w:rFonts w:hint="eastAsia" w:eastAsia="宋体"/>
                <w:bCs/>
              </w:rPr>
              <w:t>m</w:t>
            </w:r>
            <w:r>
              <w:rPr>
                <w:bCs/>
              </w:rPr>
              <w:t>easurement</w:t>
            </w:r>
            <w:r>
              <w:rPr>
                <w:rFonts w:hint="eastAsia" w:eastAsia="宋体"/>
                <w:bCs/>
              </w:rPr>
              <w:t xml:space="preserve"> and</w:t>
            </w:r>
            <w:r>
              <w:rPr>
                <w:rFonts w:hint="eastAsia"/>
                <w:bCs/>
              </w:rPr>
              <w:t xml:space="preserve"> </w:t>
            </w:r>
            <w:r>
              <w:rPr>
                <w:rFonts w:hint="eastAsia" w:eastAsia="宋体"/>
                <w:bCs/>
              </w:rPr>
              <w:t xml:space="preserve">inter-RAT </w:t>
            </w:r>
            <w:r>
              <w:rPr>
                <w:rFonts w:hint="eastAsia"/>
                <w:bCs/>
              </w:rPr>
              <w:t xml:space="preserve">NR measurement </w:t>
            </w:r>
            <w:r>
              <w:rPr>
                <w:rFonts w:hint="eastAsia" w:eastAsia="宋体"/>
                <w:bCs/>
              </w:rPr>
              <w:t xml:space="preserve">or </w:t>
            </w:r>
            <w:r>
              <w:t>supported</w:t>
            </w:r>
            <w:r>
              <w:rPr>
                <w:bCs/>
              </w:rPr>
              <w:t xml:space="preserve"> by UEs configured to perform inter-RAT NR measurement only.</w:t>
            </w:r>
          </w:p>
          <w:p>
            <w:pPr>
              <w:pStyle w:val="71"/>
            </w:pPr>
            <w:r>
              <w:t>NOTE 7:</w:t>
            </w:r>
            <w:r>
              <w:rPr>
                <w:rFonts w:cs="Arial"/>
              </w:rPr>
              <w:t xml:space="preserve"> </w:t>
            </w:r>
            <w:r>
              <w:rPr>
                <w:rFonts w:cs="Arial"/>
              </w:rPr>
              <w:tab/>
            </w:r>
            <w:r>
              <w:t>When this gap pattern is used, the T</w:t>
            </w:r>
            <w:r>
              <w:rPr>
                <w:vertAlign w:val="subscript"/>
              </w:rPr>
              <w:t>inter</w:t>
            </w:r>
            <w:r>
              <w:t xml:space="preserve"> for E-UTRA interfrequency measurements is 48ms corresponding to the first 3ms of the 4ms gap</w:t>
            </w:r>
          </w:p>
          <w:p>
            <w:pPr>
              <w:pStyle w:val="71"/>
              <w:rPr>
                <w:rFonts w:eastAsia="宋体"/>
              </w:rPr>
            </w:pPr>
            <w:r>
              <w:t>NOTE 8:</w:t>
            </w:r>
            <w:r>
              <w:rPr>
                <w:rFonts w:cs="Arial"/>
              </w:rPr>
              <w:t xml:space="preserve"> </w:t>
            </w:r>
            <w:r>
              <w:rPr>
                <w:rFonts w:cs="Arial"/>
              </w:rPr>
              <w:tab/>
            </w:r>
            <w:r>
              <w:t>When this gap pattern is used, the T</w:t>
            </w:r>
            <w:r>
              <w:rPr>
                <w:vertAlign w:val="subscript"/>
              </w:rPr>
              <w:t>inter</w:t>
            </w:r>
            <w:r>
              <w:t xml:space="preserve"> for E-UTRA interfrequency measurements is 24ms corresponding to the first 3ms of the 4ms gap</w:t>
            </w:r>
          </w:p>
          <w:p>
            <w:pPr>
              <w:pStyle w:val="71"/>
            </w:pPr>
            <w:r>
              <w:t>NOTE 9:</w:t>
            </w:r>
            <w:r>
              <w:rPr>
                <w:rFonts w:cs="Arial"/>
              </w:rPr>
              <w:t xml:space="preserve"> </w:t>
            </w:r>
            <w:r>
              <w:rPr>
                <w:rFonts w:cs="Arial"/>
              </w:rPr>
              <w:tab/>
            </w:r>
            <w:r>
              <w:t>When this gap pattern is used, the T</w:t>
            </w:r>
            <w:r>
              <w:rPr>
                <w:vertAlign w:val="subscript"/>
              </w:rPr>
              <w:t>inter</w:t>
            </w:r>
            <w:r>
              <w:t xml:space="preserve"> for E-UTRA interfrequency measurements is 12ms corresponding to the first 3ms of the 4ms gap </w:t>
            </w:r>
          </w:p>
          <w:p>
            <w:pPr>
              <w:pStyle w:val="71"/>
            </w:pPr>
            <w:bookmarkStart w:id="16" w:name="_Hlk42031185"/>
            <w:r>
              <w:t>NOTE 10:</w:t>
            </w:r>
            <w:r>
              <w:tab/>
            </w:r>
            <w:r>
              <w:t xml:space="preserve">For UE only supporting </w:t>
            </w:r>
            <w:r>
              <w:rPr>
                <w:i/>
              </w:rPr>
              <w:t>measGapPatterns-NRonly-r16</w:t>
            </w:r>
            <w:r>
              <w:t xml:space="preserve"> for the corresponding gap patterns among GP2-11, the corresponding gap patterns are only applicable to measurement of inter-RAT NR.</w:t>
            </w:r>
            <w:bookmarkEnd w:id="16"/>
          </w:p>
          <w:p>
            <w:pPr>
              <w:pStyle w:val="71"/>
            </w:pPr>
            <w:r>
              <w:t>NOTE 11:</w:t>
            </w:r>
            <w:r>
              <w:rPr>
                <w:rFonts w:cs="Arial"/>
              </w:rPr>
              <w:t xml:space="preserve"> </w:t>
            </w:r>
            <w:r>
              <w:rPr>
                <w:rFonts w:cs="Arial"/>
              </w:rPr>
              <w:tab/>
            </w:r>
            <w:r>
              <w:rPr>
                <w:snapToGrid w:val="0"/>
              </w:rPr>
              <w:t>Measurement gap patterns #24 and #25 can be requested by NR PCell [38] only when the UE is configured at least with any of RSTD, UE Rx-Tx, or PRS-RSRP measurements requiring such gaps and can only be used during the corresponding positioning measurement period</w:t>
            </w:r>
          </w:p>
        </w:tc>
      </w:tr>
    </w:tbl>
    <w:p>
      <w:pPr>
        <w:rPr>
          <w:rFonts w:hint="default" w:eastAsia="宋体"/>
          <w:lang w:val="en-US" w:eastAsia="zh-CN"/>
        </w:rPr>
      </w:pPr>
      <w:r>
        <w:rPr>
          <w:rFonts w:hint="eastAsia" w:eastAsia="宋体"/>
          <w:lang w:val="en-US" w:eastAsia="zh-CN"/>
        </w:rPr>
        <w:t>From our perspective, the parameters MeasurementGap Length and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xml:space="preserve"> would be affected by the available DL subframes. And based on the current measurement gap configuration, the value range of MeasurementGap Length may be suitable to the new TDD pattern based on network configuration. While for the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some new values could be considered based on the available DL subframes in one new TDD pattern period, for example, 90ms (i.e. corresponding to the period of the new TDD pattern) and multiples of 90ms. Therefore, measurement gap configuration enhancements could be discussed to match the new TDD pattern.</w:t>
      </w:r>
    </w:p>
    <w:p>
      <w:pPr>
        <w:pStyle w:val="60"/>
        <w:spacing w:after="0"/>
        <w:ind w:left="0" w:firstLine="0"/>
        <w:rPr>
          <w:rFonts w:hint="default" w:eastAsia="宋体"/>
          <w:b/>
          <w:bCs/>
          <w:lang w:val="en-US" w:eastAsia="zh-CN"/>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IoT-NTN TDD mode</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spacing w:after="0"/>
        <w:ind w:left="0" w:firstLine="0"/>
        <w:rPr>
          <w:rFonts w:hint="default" w:eastAsia="宋体"/>
          <w:b/>
          <w:bCs/>
          <w:lang w:val="en-US" w:eastAsia="zh-CN"/>
        </w:rPr>
      </w:pPr>
      <w:r>
        <w:rPr>
          <w:rFonts w:hint="eastAsia" w:eastAsiaTheme="minorEastAsia"/>
          <w:b/>
          <w:bCs/>
          <w:sz w:val="20"/>
          <w:szCs w:val="20"/>
          <w:lang w:val="en-US" w:eastAsia="zh-CN"/>
        </w:rPr>
        <w:t xml:space="preserve">Proposal 1: The existing </w:t>
      </w:r>
      <w:r>
        <w:rPr>
          <w:rFonts w:hint="eastAsia" w:eastAsiaTheme="minorEastAsia"/>
          <w:b/>
          <w:bCs/>
          <w:i/>
          <w:iCs/>
          <w:sz w:val="20"/>
          <w:szCs w:val="20"/>
          <w:lang w:val="en-US" w:eastAsia="zh-CN"/>
        </w:rPr>
        <w:t>ra-ResponseWindowSize</w:t>
      </w:r>
      <w:r>
        <w:rPr>
          <w:rFonts w:hint="eastAsia" w:eastAsiaTheme="minorEastAsia"/>
          <w:b/>
          <w:bCs/>
          <w:sz w:val="20"/>
          <w:szCs w:val="20"/>
          <w:lang w:val="en-US" w:eastAsia="zh-CN"/>
        </w:rPr>
        <w:t xml:space="preserve"> and </w:t>
      </w:r>
      <w:r>
        <w:rPr>
          <w:rFonts w:hint="eastAsia" w:eastAsiaTheme="minorEastAsia"/>
          <w:b/>
          <w:bCs/>
          <w:i/>
          <w:iCs/>
          <w:sz w:val="20"/>
          <w:szCs w:val="20"/>
          <w:lang w:val="en-US" w:eastAsia="zh-CN"/>
        </w:rPr>
        <w:t>mac-ContentionResolutionTimer</w:t>
      </w:r>
      <w:r>
        <w:rPr>
          <w:rFonts w:hint="eastAsia" w:eastAsiaTheme="minorEastAsia"/>
          <w:b/>
          <w:bCs/>
          <w:sz w:val="20"/>
          <w:szCs w:val="20"/>
          <w:lang w:val="en-US" w:eastAsia="zh-CN"/>
        </w:rPr>
        <w:t xml:space="preserve"> value range could cover the new TDD pattern based on network configuration.</w:t>
      </w:r>
    </w:p>
    <w:p>
      <w:pPr>
        <w:pStyle w:val="60"/>
        <w:spacing w:after="0"/>
        <w:ind w:left="0" w:firstLine="0"/>
        <w:rPr>
          <w:rFonts w:hint="eastAsia" w:eastAsia="宋体"/>
          <w:b/>
          <w:bCs/>
          <w:lang w:val="en-US" w:eastAsia="zh-CN"/>
        </w:rPr>
      </w:pPr>
      <w:r>
        <w:rPr>
          <w:rFonts w:hint="eastAsia" w:eastAsia="宋体"/>
          <w:b/>
          <w:bCs/>
          <w:lang w:val="en-US" w:eastAsia="zh-CN"/>
        </w:rPr>
        <w:t>Proposal 2: It is proposed that if the NB-IoT NTN system operates in TDD mode, the HARQ feedback is disabled by default, and to be simple, we could just add related description in TS 36.300.</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3: Both cellBarred or cellBarred-NTN could be used for access control for the R19 NB-IoT NTN UE supporting the new TDD pattern.</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The DL subframes of the new TDD pattern could cover the existing paging occasion located subframes.</w:t>
      </w:r>
    </w:p>
    <w:p>
      <w:pPr>
        <w:pStyle w:val="60"/>
        <w:spacing w:after="0"/>
        <w:ind w:left="0" w:firstLine="0"/>
        <w:rPr>
          <w:rFonts w:hint="eastAsia" w:eastAsia="宋体"/>
          <w:b/>
          <w:bCs/>
          <w:lang w:val="en-US" w:eastAsia="zh-CN"/>
        </w:rPr>
      </w:pPr>
      <w:r>
        <w:rPr>
          <w:rFonts w:hint="eastAsia" w:eastAsia="宋体"/>
          <w:b/>
          <w:bCs/>
          <w:lang w:val="en-US" w:eastAsia="zh-CN"/>
        </w:rPr>
        <w:t>Proposal 4: Enhancements for PO may be not needed, and it could be postponed directly to next actual available PO if the calculated PO falls into inactive DL subframes.</w:t>
      </w:r>
    </w:p>
    <w:p>
      <w:pPr>
        <w:pStyle w:val="60"/>
        <w:spacing w:after="0"/>
        <w:ind w:left="0" w:firstLine="0"/>
        <w:rPr>
          <w:rFonts w:eastAsia="宋体" w:cs="Arial"/>
          <w:sz w:val="20"/>
          <w:szCs w:val="20"/>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hint="eastAsia"/>
          <w:sz w:val="20"/>
          <w:szCs w:val="20"/>
        </w:rPr>
      </w:pPr>
      <w:bookmarkStart w:id="17" w:name="_In-sequence_SDU_delivery"/>
      <w:bookmarkEnd w:id="17"/>
      <w:r>
        <w:rPr>
          <w:rFonts w:hint="eastAsia"/>
          <w:sz w:val="20"/>
          <w:szCs w:val="20"/>
        </w:rPr>
        <w:t>R2-129 NR-NTN-IoT-NTN (Sergio)_ EOM</w:t>
      </w:r>
    </w:p>
    <w:p>
      <w:pPr>
        <w:pStyle w:val="27"/>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Chair notes RAN1#120 eom0</w:t>
      </w:r>
    </w:p>
    <w:p>
      <w:pPr>
        <w:pStyle w:val="27"/>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3GPP TS 36.30</w:t>
      </w:r>
      <w:r>
        <w:rPr>
          <w:rFonts w:hint="eastAsia" w:eastAsia="宋体"/>
          <w:sz w:val="20"/>
          <w:szCs w:val="20"/>
          <w:lang w:val="en-US" w:eastAsia="zh-CN"/>
        </w:rPr>
        <w:t>0</w:t>
      </w:r>
      <w:r>
        <w:rPr>
          <w:rFonts w:hint="eastAsia"/>
          <w:sz w:val="20"/>
          <w:szCs w:val="20"/>
        </w:rPr>
        <w:t xml:space="preserve"> V18.</w:t>
      </w:r>
      <w:r>
        <w:rPr>
          <w:rFonts w:hint="eastAsia" w:eastAsia="宋体"/>
          <w:sz w:val="20"/>
          <w:szCs w:val="20"/>
          <w:lang w:val="en-US" w:eastAsia="zh-CN"/>
        </w:rPr>
        <w:t>4</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3GPP TS 36.331 V18.</w:t>
      </w:r>
      <w:r>
        <w:rPr>
          <w:rFonts w:hint="eastAsia" w:eastAsia="宋体"/>
          <w:sz w:val="20"/>
          <w:szCs w:val="20"/>
          <w:lang w:val="en-US" w:eastAsia="zh-CN"/>
        </w:rPr>
        <w:t>4</w:t>
      </w:r>
      <w:r>
        <w:rPr>
          <w:rFonts w:hint="eastAsia"/>
          <w:sz w:val="20"/>
          <w:szCs w:val="20"/>
        </w:rPr>
        <w:t>.0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r>
        <w:rPr>
          <w:rFonts w:hint="eastAsia" w:eastAsia="宋体"/>
          <w:sz w:val="20"/>
          <w:szCs w:val="20"/>
          <w:lang w:val="en-US" w:eastAsia="zh-CN"/>
        </w:rPr>
        <w:t xml:space="preserve"> </w:t>
      </w:r>
    </w:p>
    <w:p>
      <w:pPr>
        <w:pStyle w:val="27"/>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3GPP TS 36.304 V18.3.0</w:t>
      </w:r>
      <w:r>
        <w:rPr>
          <w:rFonts w:hint="eastAsia" w:eastAsia="宋体"/>
          <w:sz w:val="20"/>
          <w:szCs w:val="20"/>
          <w:lang w:val="en-US" w:eastAsia="zh-CN"/>
        </w:rPr>
        <w:t xml:space="preserve"> Evolved Universal Terrestrial Radio Access (E-UTRA); User Equipment (UE) procedures in idle mode (Release 18)</w:t>
      </w:r>
    </w:p>
    <w:p>
      <w:pPr>
        <w:pStyle w:val="27"/>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3GPP TS 36.133 V18.8.0</w:t>
      </w:r>
      <w:r>
        <w:rPr>
          <w:rFonts w:hint="eastAsia" w:eastAsia="宋体"/>
          <w:sz w:val="20"/>
          <w:szCs w:val="20"/>
          <w:lang w:val="en-US" w:eastAsia="zh-CN"/>
        </w:rPr>
        <w:t xml:space="preserve"> Evolved Universal Terrestrial Radio Access (E-UTRA); Requirements for support of radio resource management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34774E4"/>
    <w:multiLevelType w:val="multilevel"/>
    <w:tmpl w:val="034774E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483CD10"/>
    <w:multiLevelType w:val="singleLevel"/>
    <w:tmpl w:val="3483CD10"/>
    <w:lvl w:ilvl="0" w:tentative="0">
      <w:start w:val="1"/>
      <w:numFmt w:val="decimal"/>
      <w:lvlText w:val="%1&gt;"/>
      <w:lvlJc w:val="left"/>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2"/>
  </w:num>
  <w:num w:numId="4">
    <w:abstractNumId w:val="9"/>
  </w:num>
  <w:num w:numId="5">
    <w:abstractNumId w:val="4"/>
  </w:num>
  <w:num w:numId="6">
    <w:abstractNumId w:val="8"/>
  </w:num>
  <w:num w:numId="7">
    <w:abstractNumId w:val="10"/>
  </w:num>
  <w:num w:numId="8">
    <w:abstractNumId w:val="7"/>
  </w:num>
  <w:num w:numId="9">
    <w:abstractNumId w:val="11"/>
  </w:num>
  <w:num w:numId="10">
    <w:abstractNumId w:val="14"/>
  </w:num>
  <w:num w:numId="11">
    <w:abstractNumId w:val="2"/>
  </w:num>
  <w:num w:numId="12">
    <w:abstractNumId w:val="3"/>
  </w:num>
  <w:num w:numId="13">
    <w:abstractNumId w:val="13"/>
  </w:num>
  <w:num w:numId="14">
    <w:abstractNumId w:val="6"/>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068C"/>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06F4B"/>
    <w:rsid w:val="01187207"/>
    <w:rsid w:val="01426C64"/>
    <w:rsid w:val="015036AA"/>
    <w:rsid w:val="015B631E"/>
    <w:rsid w:val="016318F9"/>
    <w:rsid w:val="017A73D0"/>
    <w:rsid w:val="018E0749"/>
    <w:rsid w:val="019A10AD"/>
    <w:rsid w:val="01A21D3D"/>
    <w:rsid w:val="01A659EC"/>
    <w:rsid w:val="01BF172D"/>
    <w:rsid w:val="01CD2E76"/>
    <w:rsid w:val="01E74520"/>
    <w:rsid w:val="02040ADD"/>
    <w:rsid w:val="021F6B8A"/>
    <w:rsid w:val="022F4B03"/>
    <w:rsid w:val="023B087A"/>
    <w:rsid w:val="026E2D25"/>
    <w:rsid w:val="02744528"/>
    <w:rsid w:val="02877C19"/>
    <w:rsid w:val="028D67E7"/>
    <w:rsid w:val="02CC0A1F"/>
    <w:rsid w:val="02D22694"/>
    <w:rsid w:val="02DD0987"/>
    <w:rsid w:val="035845AA"/>
    <w:rsid w:val="03A11802"/>
    <w:rsid w:val="03A70CE2"/>
    <w:rsid w:val="03CD053C"/>
    <w:rsid w:val="03F47F88"/>
    <w:rsid w:val="0416334A"/>
    <w:rsid w:val="04726FC9"/>
    <w:rsid w:val="047D246A"/>
    <w:rsid w:val="048A5003"/>
    <w:rsid w:val="04A13B04"/>
    <w:rsid w:val="04B403C6"/>
    <w:rsid w:val="04BC080F"/>
    <w:rsid w:val="04BF107F"/>
    <w:rsid w:val="04D25727"/>
    <w:rsid w:val="04DA176A"/>
    <w:rsid w:val="04EF7190"/>
    <w:rsid w:val="04F07943"/>
    <w:rsid w:val="04F50E2F"/>
    <w:rsid w:val="050745CD"/>
    <w:rsid w:val="051D3A75"/>
    <w:rsid w:val="05606A49"/>
    <w:rsid w:val="059476CF"/>
    <w:rsid w:val="05983EBC"/>
    <w:rsid w:val="05A35E9B"/>
    <w:rsid w:val="05A67783"/>
    <w:rsid w:val="06072EC4"/>
    <w:rsid w:val="06077EDA"/>
    <w:rsid w:val="06254DA5"/>
    <w:rsid w:val="06261BBF"/>
    <w:rsid w:val="0654248D"/>
    <w:rsid w:val="06565EAE"/>
    <w:rsid w:val="065C74ED"/>
    <w:rsid w:val="06724B04"/>
    <w:rsid w:val="06B42119"/>
    <w:rsid w:val="06CC6B52"/>
    <w:rsid w:val="06F35128"/>
    <w:rsid w:val="06F64396"/>
    <w:rsid w:val="07046057"/>
    <w:rsid w:val="078017DE"/>
    <w:rsid w:val="078C1F33"/>
    <w:rsid w:val="07B241B1"/>
    <w:rsid w:val="07B959B1"/>
    <w:rsid w:val="07BD374D"/>
    <w:rsid w:val="07E06570"/>
    <w:rsid w:val="07E769A5"/>
    <w:rsid w:val="07EF7893"/>
    <w:rsid w:val="08350D3C"/>
    <w:rsid w:val="083C3DD7"/>
    <w:rsid w:val="083F0917"/>
    <w:rsid w:val="0841118C"/>
    <w:rsid w:val="08AF444E"/>
    <w:rsid w:val="08F65DA6"/>
    <w:rsid w:val="09133D3D"/>
    <w:rsid w:val="09BB5B6F"/>
    <w:rsid w:val="09E47F26"/>
    <w:rsid w:val="09F46CE4"/>
    <w:rsid w:val="0A1A51CE"/>
    <w:rsid w:val="0A241BD4"/>
    <w:rsid w:val="0A3F21EB"/>
    <w:rsid w:val="0A5E59A5"/>
    <w:rsid w:val="0A9740DA"/>
    <w:rsid w:val="0AA40C7E"/>
    <w:rsid w:val="0ACC0F45"/>
    <w:rsid w:val="0B080B5F"/>
    <w:rsid w:val="0B4A1814"/>
    <w:rsid w:val="0B510D2F"/>
    <w:rsid w:val="0B767B3C"/>
    <w:rsid w:val="0BA01FBF"/>
    <w:rsid w:val="0BAE26FE"/>
    <w:rsid w:val="0BCF37C5"/>
    <w:rsid w:val="0BD60B5C"/>
    <w:rsid w:val="0C0E133A"/>
    <w:rsid w:val="0C177D5B"/>
    <w:rsid w:val="0C187DEE"/>
    <w:rsid w:val="0C4B2410"/>
    <w:rsid w:val="0C984883"/>
    <w:rsid w:val="0CAE5B2E"/>
    <w:rsid w:val="0CD409FF"/>
    <w:rsid w:val="0D524167"/>
    <w:rsid w:val="0D587FCA"/>
    <w:rsid w:val="0D6133DD"/>
    <w:rsid w:val="0D671FA8"/>
    <w:rsid w:val="0D681ED9"/>
    <w:rsid w:val="0D6C179F"/>
    <w:rsid w:val="0D925BB9"/>
    <w:rsid w:val="0DA013F6"/>
    <w:rsid w:val="0DB73290"/>
    <w:rsid w:val="0DDB664A"/>
    <w:rsid w:val="0E2944A5"/>
    <w:rsid w:val="0E336CD8"/>
    <w:rsid w:val="0E891356"/>
    <w:rsid w:val="0E997EF0"/>
    <w:rsid w:val="0EC440FF"/>
    <w:rsid w:val="0EF139CD"/>
    <w:rsid w:val="0FB354FB"/>
    <w:rsid w:val="0FCC0A5A"/>
    <w:rsid w:val="0FE0018D"/>
    <w:rsid w:val="0FF46724"/>
    <w:rsid w:val="10221AC0"/>
    <w:rsid w:val="106E3473"/>
    <w:rsid w:val="108131DD"/>
    <w:rsid w:val="108230A5"/>
    <w:rsid w:val="10F56664"/>
    <w:rsid w:val="10F7298E"/>
    <w:rsid w:val="11043CD0"/>
    <w:rsid w:val="110F10D1"/>
    <w:rsid w:val="1119491C"/>
    <w:rsid w:val="117C0058"/>
    <w:rsid w:val="118D209C"/>
    <w:rsid w:val="11936376"/>
    <w:rsid w:val="11B82D63"/>
    <w:rsid w:val="11C5063A"/>
    <w:rsid w:val="12B27083"/>
    <w:rsid w:val="12BA7EC6"/>
    <w:rsid w:val="12D20EAC"/>
    <w:rsid w:val="13116F0E"/>
    <w:rsid w:val="13132FCE"/>
    <w:rsid w:val="134A0035"/>
    <w:rsid w:val="135C7F4F"/>
    <w:rsid w:val="1382544E"/>
    <w:rsid w:val="13997B36"/>
    <w:rsid w:val="13BC3D5B"/>
    <w:rsid w:val="13BF03D8"/>
    <w:rsid w:val="141B1C76"/>
    <w:rsid w:val="14A20FFB"/>
    <w:rsid w:val="14B67E3C"/>
    <w:rsid w:val="14B82DC6"/>
    <w:rsid w:val="14E763B9"/>
    <w:rsid w:val="1518593F"/>
    <w:rsid w:val="153214F9"/>
    <w:rsid w:val="153372CB"/>
    <w:rsid w:val="154410F5"/>
    <w:rsid w:val="16150148"/>
    <w:rsid w:val="16563130"/>
    <w:rsid w:val="16800EA7"/>
    <w:rsid w:val="169343E9"/>
    <w:rsid w:val="16A42650"/>
    <w:rsid w:val="16AA08E2"/>
    <w:rsid w:val="16BE338F"/>
    <w:rsid w:val="16D12C71"/>
    <w:rsid w:val="16F24CA6"/>
    <w:rsid w:val="171B31CF"/>
    <w:rsid w:val="175A4317"/>
    <w:rsid w:val="176156CD"/>
    <w:rsid w:val="177E36D0"/>
    <w:rsid w:val="179450F0"/>
    <w:rsid w:val="17945CA4"/>
    <w:rsid w:val="17C97A7C"/>
    <w:rsid w:val="180E362D"/>
    <w:rsid w:val="181B2E1C"/>
    <w:rsid w:val="182D4589"/>
    <w:rsid w:val="18571522"/>
    <w:rsid w:val="18787128"/>
    <w:rsid w:val="18B278BB"/>
    <w:rsid w:val="18B9619D"/>
    <w:rsid w:val="18EB5907"/>
    <w:rsid w:val="190A668D"/>
    <w:rsid w:val="191242AE"/>
    <w:rsid w:val="191B61E7"/>
    <w:rsid w:val="195B3A6D"/>
    <w:rsid w:val="196B02E6"/>
    <w:rsid w:val="19AC5C42"/>
    <w:rsid w:val="19BC1AC5"/>
    <w:rsid w:val="19C257DC"/>
    <w:rsid w:val="19CA7B05"/>
    <w:rsid w:val="19D92839"/>
    <w:rsid w:val="19DD3DE3"/>
    <w:rsid w:val="1A201089"/>
    <w:rsid w:val="1A330485"/>
    <w:rsid w:val="1A384090"/>
    <w:rsid w:val="1A4219B8"/>
    <w:rsid w:val="1A913825"/>
    <w:rsid w:val="1AA366F2"/>
    <w:rsid w:val="1AC82085"/>
    <w:rsid w:val="1AEF5DBD"/>
    <w:rsid w:val="1B423649"/>
    <w:rsid w:val="1B510746"/>
    <w:rsid w:val="1BA24967"/>
    <w:rsid w:val="1BD95F94"/>
    <w:rsid w:val="1BDA5141"/>
    <w:rsid w:val="1C3D1CD0"/>
    <w:rsid w:val="1C5E7298"/>
    <w:rsid w:val="1C851710"/>
    <w:rsid w:val="1C917FBA"/>
    <w:rsid w:val="1D027DA6"/>
    <w:rsid w:val="1D7F0F66"/>
    <w:rsid w:val="1D82362E"/>
    <w:rsid w:val="1DA57DC6"/>
    <w:rsid w:val="1DB028A2"/>
    <w:rsid w:val="1DD14FB1"/>
    <w:rsid w:val="1DDD518B"/>
    <w:rsid w:val="1E1507D7"/>
    <w:rsid w:val="1E3072B7"/>
    <w:rsid w:val="1E403C53"/>
    <w:rsid w:val="1EA20D4A"/>
    <w:rsid w:val="1EAA6DF5"/>
    <w:rsid w:val="1EB573ED"/>
    <w:rsid w:val="1ECC19F8"/>
    <w:rsid w:val="1EFF6958"/>
    <w:rsid w:val="1F0926FA"/>
    <w:rsid w:val="1F0A1209"/>
    <w:rsid w:val="1F734328"/>
    <w:rsid w:val="1FA11974"/>
    <w:rsid w:val="1FAE283E"/>
    <w:rsid w:val="1FB32543"/>
    <w:rsid w:val="200E49C4"/>
    <w:rsid w:val="20203DE8"/>
    <w:rsid w:val="2031215C"/>
    <w:rsid w:val="20955704"/>
    <w:rsid w:val="20B73272"/>
    <w:rsid w:val="20DB7C51"/>
    <w:rsid w:val="20E9518E"/>
    <w:rsid w:val="20FE42D5"/>
    <w:rsid w:val="210067C7"/>
    <w:rsid w:val="211313D4"/>
    <w:rsid w:val="21234291"/>
    <w:rsid w:val="213F3830"/>
    <w:rsid w:val="21861202"/>
    <w:rsid w:val="218E2416"/>
    <w:rsid w:val="21C067D1"/>
    <w:rsid w:val="21E52206"/>
    <w:rsid w:val="21F817A2"/>
    <w:rsid w:val="21F86645"/>
    <w:rsid w:val="22573157"/>
    <w:rsid w:val="2269133C"/>
    <w:rsid w:val="22C4562D"/>
    <w:rsid w:val="22F34C5F"/>
    <w:rsid w:val="23144387"/>
    <w:rsid w:val="234E7F45"/>
    <w:rsid w:val="235D1C04"/>
    <w:rsid w:val="23686144"/>
    <w:rsid w:val="237C25AE"/>
    <w:rsid w:val="238E5B95"/>
    <w:rsid w:val="239A17D4"/>
    <w:rsid w:val="239F51B6"/>
    <w:rsid w:val="241B2FD5"/>
    <w:rsid w:val="242445BB"/>
    <w:rsid w:val="243F039F"/>
    <w:rsid w:val="245B6D34"/>
    <w:rsid w:val="24B3286B"/>
    <w:rsid w:val="24B5447A"/>
    <w:rsid w:val="24B82068"/>
    <w:rsid w:val="24E02080"/>
    <w:rsid w:val="24E10292"/>
    <w:rsid w:val="25043CC9"/>
    <w:rsid w:val="256762FD"/>
    <w:rsid w:val="25741810"/>
    <w:rsid w:val="25CD7D4E"/>
    <w:rsid w:val="25CF1B20"/>
    <w:rsid w:val="25D04052"/>
    <w:rsid w:val="25DE0600"/>
    <w:rsid w:val="26281CED"/>
    <w:rsid w:val="264B4D7A"/>
    <w:rsid w:val="265D0D96"/>
    <w:rsid w:val="269447EB"/>
    <w:rsid w:val="26B07C33"/>
    <w:rsid w:val="26D47A62"/>
    <w:rsid w:val="26FD4C6C"/>
    <w:rsid w:val="270155DC"/>
    <w:rsid w:val="270270D4"/>
    <w:rsid w:val="27306E68"/>
    <w:rsid w:val="27606908"/>
    <w:rsid w:val="27620233"/>
    <w:rsid w:val="276D70AB"/>
    <w:rsid w:val="277E77C1"/>
    <w:rsid w:val="27AE47D9"/>
    <w:rsid w:val="27C7291F"/>
    <w:rsid w:val="27E26E59"/>
    <w:rsid w:val="27F86794"/>
    <w:rsid w:val="27FA3E65"/>
    <w:rsid w:val="2806684A"/>
    <w:rsid w:val="2809471B"/>
    <w:rsid w:val="28255BB3"/>
    <w:rsid w:val="285478B9"/>
    <w:rsid w:val="28603CA4"/>
    <w:rsid w:val="287D0002"/>
    <w:rsid w:val="287D5E75"/>
    <w:rsid w:val="28AD0B61"/>
    <w:rsid w:val="28FA7E82"/>
    <w:rsid w:val="29423CBE"/>
    <w:rsid w:val="29B04DA9"/>
    <w:rsid w:val="29CD3FA9"/>
    <w:rsid w:val="2A1862C4"/>
    <w:rsid w:val="2A1D0497"/>
    <w:rsid w:val="2A4B23FB"/>
    <w:rsid w:val="2AC455D6"/>
    <w:rsid w:val="2AC82235"/>
    <w:rsid w:val="2AF0613E"/>
    <w:rsid w:val="2B083F92"/>
    <w:rsid w:val="2B32636D"/>
    <w:rsid w:val="2B542A45"/>
    <w:rsid w:val="2B683FBF"/>
    <w:rsid w:val="2BA576F2"/>
    <w:rsid w:val="2BB96BD3"/>
    <w:rsid w:val="2BC72D99"/>
    <w:rsid w:val="2BE54292"/>
    <w:rsid w:val="2BFC2B9D"/>
    <w:rsid w:val="2C09079D"/>
    <w:rsid w:val="2C285659"/>
    <w:rsid w:val="2C4872CD"/>
    <w:rsid w:val="2C9F2631"/>
    <w:rsid w:val="2CCC5F18"/>
    <w:rsid w:val="2CF51ED1"/>
    <w:rsid w:val="2CFA23BD"/>
    <w:rsid w:val="2D3B228A"/>
    <w:rsid w:val="2D5923F4"/>
    <w:rsid w:val="2D8523AE"/>
    <w:rsid w:val="2DB6192E"/>
    <w:rsid w:val="2DB67426"/>
    <w:rsid w:val="2DE774F0"/>
    <w:rsid w:val="2DF36570"/>
    <w:rsid w:val="2E103F98"/>
    <w:rsid w:val="2EB775B3"/>
    <w:rsid w:val="2EC80E25"/>
    <w:rsid w:val="2ECD5251"/>
    <w:rsid w:val="2ED54702"/>
    <w:rsid w:val="2EE85B84"/>
    <w:rsid w:val="2EF94A67"/>
    <w:rsid w:val="2EFC31BC"/>
    <w:rsid w:val="2F001319"/>
    <w:rsid w:val="2F2F4C2C"/>
    <w:rsid w:val="2F3D4E71"/>
    <w:rsid w:val="2F5F43CE"/>
    <w:rsid w:val="2FED793D"/>
    <w:rsid w:val="302E07AF"/>
    <w:rsid w:val="30687335"/>
    <w:rsid w:val="30751E86"/>
    <w:rsid w:val="30866EAA"/>
    <w:rsid w:val="30946552"/>
    <w:rsid w:val="309E20B5"/>
    <w:rsid w:val="30BF1F4D"/>
    <w:rsid w:val="30D77645"/>
    <w:rsid w:val="30F3431F"/>
    <w:rsid w:val="31174C60"/>
    <w:rsid w:val="311B0263"/>
    <w:rsid w:val="31503E5A"/>
    <w:rsid w:val="316D7D0D"/>
    <w:rsid w:val="319D3380"/>
    <w:rsid w:val="31AE180F"/>
    <w:rsid w:val="31AE4D12"/>
    <w:rsid w:val="31BB0B8C"/>
    <w:rsid w:val="32237627"/>
    <w:rsid w:val="3244236F"/>
    <w:rsid w:val="326B2AB6"/>
    <w:rsid w:val="327917A1"/>
    <w:rsid w:val="32954313"/>
    <w:rsid w:val="32A942B0"/>
    <w:rsid w:val="32B005E8"/>
    <w:rsid w:val="32F13120"/>
    <w:rsid w:val="333000CE"/>
    <w:rsid w:val="333663A2"/>
    <w:rsid w:val="335B55F1"/>
    <w:rsid w:val="335C2711"/>
    <w:rsid w:val="336153CB"/>
    <w:rsid w:val="33863C3A"/>
    <w:rsid w:val="339F04B3"/>
    <w:rsid w:val="33A81036"/>
    <w:rsid w:val="33C32E92"/>
    <w:rsid w:val="33E26367"/>
    <w:rsid w:val="33F614DE"/>
    <w:rsid w:val="341E7B56"/>
    <w:rsid w:val="34207E90"/>
    <w:rsid w:val="342C61EA"/>
    <w:rsid w:val="34603CB1"/>
    <w:rsid w:val="34914DCA"/>
    <w:rsid w:val="34C6331F"/>
    <w:rsid w:val="34D95BB9"/>
    <w:rsid w:val="34F97D00"/>
    <w:rsid w:val="35050B53"/>
    <w:rsid w:val="35461EDF"/>
    <w:rsid w:val="354D014F"/>
    <w:rsid w:val="35502BD2"/>
    <w:rsid w:val="3569384E"/>
    <w:rsid w:val="35A35F0C"/>
    <w:rsid w:val="35B43C28"/>
    <w:rsid w:val="361C2353"/>
    <w:rsid w:val="3635547B"/>
    <w:rsid w:val="365C6586"/>
    <w:rsid w:val="36746B61"/>
    <w:rsid w:val="36A9407C"/>
    <w:rsid w:val="36CA7953"/>
    <w:rsid w:val="36FA1D41"/>
    <w:rsid w:val="3719430F"/>
    <w:rsid w:val="37C2178A"/>
    <w:rsid w:val="37C86384"/>
    <w:rsid w:val="37D61EDD"/>
    <w:rsid w:val="37E26F6D"/>
    <w:rsid w:val="37E93248"/>
    <w:rsid w:val="37F97B97"/>
    <w:rsid w:val="380411EC"/>
    <w:rsid w:val="3829480D"/>
    <w:rsid w:val="382F3B76"/>
    <w:rsid w:val="383529C2"/>
    <w:rsid w:val="383C5BD0"/>
    <w:rsid w:val="38536D3F"/>
    <w:rsid w:val="387933ED"/>
    <w:rsid w:val="387B61F0"/>
    <w:rsid w:val="387C466F"/>
    <w:rsid w:val="387D26D9"/>
    <w:rsid w:val="388727CC"/>
    <w:rsid w:val="38F51E45"/>
    <w:rsid w:val="39024B57"/>
    <w:rsid w:val="392207C3"/>
    <w:rsid w:val="39425757"/>
    <w:rsid w:val="39F1794B"/>
    <w:rsid w:val="3A02147B"/>
    <w:rsid w:val="3A06167E"/>
    <w:rsid w:val="3A3665DD"/>
    <w:rsid w:val="3A534B7E"/>
    <w:rsid w:val="3A6F42D5"/>
    <w:rsid w:val="3A82293D"/>
    <w:rsid w:val="3A9E2AD9"/>
    <w:rsid w:val="3AC57875"/>
    <w:rsid w:val="3AE309A9"/>
    <w:rsid w:val="3AEF40DA"/>
    <w:rsid w:val="3B596DF7"/>
    <w:rsid w:val="3B8D1E1C"/>
    <w:rsid w:val="3BC23F1A"/>
    <w:rsid w:val="3BC52C1E"/>
    <w:rsid w:val="3BE402D6"/>
    <w:rsid w:val="3C2A7289"/>
    <w:rsid w:val="3C5503C9"/>
    <w:rsid w:val="3C6D30EA"/>
    <w:rsid w:val="3C6D47EB"/>
    <w:rsid w:val="3CCB7AFB"/>
    <w:rsid w:val="3CD8469E"/>
    <w:rsid w:val="3CEA67FE"/>
    <w:rsid w:val="3CF84A6E"/>
    <w:rsid w:val="3D2C7D07"/>
    <w:rsid w:val="3D2E7413"/>
    <w:rsid w:val="3D406D01"/>
    <w:rsid w:val="3D4E0A24"/>
    <w:rsid w:val="3D5934AC"/>
    <w:rsid w:val="3D966C01"/>
    <w:rsid w:val="3DA51E2F"/>
    <w:rsid w:val="3DB43891"/>
    <w:rsid w:val="3DBE2C48"/>
    <w:rsid w:val="3E0B7BD9"/>
    <w:rsid w:val="3E1D4EEF"/>
    <w:rsid w:val="3E267F59"/>
    <w:rsid w:val="3E2E7FDD"/>
    <w:rsid w:val="3E4456FC"/>
    <w:rsid w:val="3EA877DC"/>
    <w:rsid w:val="3F1E12A1"/>
    <w:rsid w:val="3F7117D8"/>
    <w:rsid w:val="3FA702FB"/>
    <w:rsid w:val="3FCF3774"/>
    <w:rsid w:val="3FEB0FB3"/>
    <w:rsid w:val="40325295"/>
    <w:rsid w:val="407C021F"/>
    <w:rsid w:val="40F33173"/>
    <w:rsid w:val="40F82E28"/>
    <w:rsid w:val="40FE5756"/>
    <w:rsid w:val="41585AC3"/>
    <w:rsid w:val="41755806"/>
    <w:rsid w:val="41762118"/>
    <w:rsid w:val="41B34CCB"/>
    <w:rsid w:val="41C87C60"/>
    <w:rsid w:val="41C96466"/>
    <w:rsid w:val="41CC0719"/>
    <w:rsid w:val="41CE3596"/>
    <w:rsid w:val="41F45C74"/>
    <w:rsid w:val="41F85DEA"/>
    <w:rsid w:val="420610DF"/>
    <w:rsid w:val="42407D0F"/>
    <w:rsid w:val="429544E1"/>
    <w:rsid w:val="42A779B5"/>
    <w:rsid w:val="42B76D04"/>
    <w:rsid w:val="42CE6929"/>
    <w:rsid w:val="42F71CEC"/>
    <w:rsid w:val="43057719"/>
    <w:rsid w:val="43A47886"/>
    <w:rsid w:val="43BD07B0"/>
    <w:rsid w:val="43C65B01"/>
    <w:rsid w:val="43DF4E15"/>
    <w:rsid w:val="43E53BCD"/>
    <w:rsid w:val="43EF2749"/>
    <w:rsid w:val="43F03364"/>
    <w:rsid w:val="43F24FED"/>
    <w:rsid w:val="443B107F"/>
    <w:rsid w:val="44587313"/>
    <w:rsid w:val="445C4E37"/>
    <w:rsid w:val="44776D6B"/>
    <w:rsid w:val="44843D36"/>
    <w:rsid w:val="44B14540"/>
    <w:rsid w:val="44BA7E1E"/>
    <w:rsid w:val="44BE79C3"/>
    <w:rsid w:val="45271F81"/>
    <w:rsid w:val="455340E3"/>
    <w:rsid w:val="4557657E"/>
    <w:rsid w:val="45BC7A33"/>
    <w:rsid w:val="45CA31DA"/>
    <w:rsid w:val="45D50D55"/>
    <w:rsid w:val="45EC6821"/>
    <w:rsid w:val="45F303D0"/>
    <w:rsid w:val="45F84858"/>
    <w:rsid w:val="462356B3"/>
    <w:rsid w:val="464004CF"/>
    <w:rsid w:val="46460503"/>
    <w:rsid w:val="4673772B"/>
    <w:rsid w:val="46A55352"/>
    <w:rsid w:val="46B51FCF"/>
    <w:rsid w:val="46BA0199"/>
    <w:rsid w:val="46FF6AF5"/>
    <w:rsid w:val="47062A9A"/>
    <w:rsid w:val="476E313F"/>
    <w:rsid w:val="4771580B"/>
    <w:rsid w:val="47761CCA"/>
    <w:rsid w:val="47993F84"/>
    <w:rsid w:val="47BB48EC"/>
    <w:rsid w:val="47BD666C"/>
    <w:rsid w:val="47DB6CDA"/>
    <w:rsid w:val="480A17DC"/>
    <w:rsid w:val="482A3553"/>
    <w:rsid w:val="48896E93"/>
    <w:rsid w:val="488B2575"/>
    <w:rsid w:val="4896658D"/>
    <w:rsid w:val="48F77743"/>
    <w:rsid w:val="49331F2A"/>
    <w:rsid w:val="497F7FCC"/>
    <w:rsid w:val="49B17433"/>
    <w:rsid w:val="4A284A82"/>
    <w:rsid w:val="4A5C202E"/>
    <w:rsid w:val="4A662E1D"/>
    <w:rsid w:val="4A7E32B4"/>
    <w:rsid w:val="4AD94E56"/>
    <w:rsid w:val="4AF07359"/>
    <w:rsid w:val="4AFC533A"/>
    <w:rsid w:val="4B1367B9"/>
    <w:rsid w:val="4B316DE7"/>
    <w:rsid w:val="4B565C38"/>
    <w:rsid w:val="4B6D7831"/>
    <w:rsid w:val="4B873797"/>
    <w:rsid w:val="4B8D0855"/>
    <w:rsid w:val="4B920891"/>
    <w:rsid w:val="4B9C680D"/>
    <w:rsid w:val="4BB221B4"/>
    <w:rsid w:val="4C273B2C"/>
    <w:rsid w:val="4C336E5A"/>
    <w:rsid w:val="4C353BC7"/>
    <w:rsid w:val="4C5D54D6"/>
    <w:rsid w:val="4C814518"/>
    <w:rsid w:val="4C91315E"/>
    <w:rsid w:val="4CAD0872"/>
    <w:rsid w:val="4CCE50CA"/>
    <w:rsid w:val="4CE57F81"/>
    <w:rsid w:val="4D171B62"/>
    <w:rsid w:val="4D3A24A4"/>
    <w:rsid w:val="4D4458F0"/>
    <w:rsid w:val="4D594475"/>
    <w:rsid w:val="4D614640"/>
    <w:rsid w:val="4D762F64"/>
    <w:rsid w:val="4D941A9A"/>
    <w:rsid w:val="4DB06342"/>
    <w:rsid w:val="4DEC01C6"/>
    <w:rsid w:val="4DF158ED"/>
    <w:rsid w:val="4E0C3478"/>
    <w:rsid w:val="4E0E741B"/>
    <w:rsid w:val="4E207448"/>
    <w:rsid w:val="4E4D0205"/>
    <w:rsid w:val="4E5F122A"/>
    <w:rsid w:val="4E865DE0"/>
    <w:rsid w:val="4E9D7CEE"/>
    <w:rsid w:val="4EB31914"/>
    <w:rsid w:val="4EC83A06"/>
    <w:rsid w:val="4EDA6709"/>
    <w:rsid w:val="4EE32FEF"/>
    <w:rsid w:val="4F1C0A54"/>
    <w:rsid w:val="4F235FC8"/>
    <w:rsid w:val="4F2C3853"/>
    <w:rsid w:val="4F457C0A"/>
    <w:rsid w:val="4F530CAB"/>
    <w:rsid w:val="4F7F20AA"/>
    <w:rsid w:val="4F873909"/>
    <w:rsid w:val="4F9510BA"/>
    <w:rsid w:val="4FF617D6"/>
    <w:rsid w:val="502B2CEE"/>
    <w:rsid w:val="50507ECA"/>
    <w:rsid w:val="505E475D"/>
    <w:rsid w:val="506B2DFC"/>
    <w:rsid w:val="508F3931"/>
    <w:rsid w:val="50D442C5"/>
    <w:rsid w:val="50E64646"/>
    <w:rsid w:val="50F56E5E"/>
    <w:rsid w:val="50FC2CFB"/>
    <w:rsid w:val="513A3326"/>
    <w:rsid w:val="513B4B9D"/>
    <w:rsid w:val="515C13CF"/>
    <w:rsid w:val="51644678"/>
    <w:rsid w:val="516A6684"/>
    <w:rsid w:val="518C6DB2"/>
    <w:rsid w:val="51AF5989"/>
    <w:rsid w:val="51E25CE3"/>
    <w:rsid w:val="51E261D3"/>
    <w:rsid w:val="51EA16FB"/>
    <w:rsid w:val="51EF33C5"/>
    <w:rsid w:val="51FF7611"/>
    <w:rsid w:val="5223684A"/>
    <w:rsid w:val="52A32CE7"/>
    <w:rsid w:val="52A955AB"/>
    <w:rsid w:val="52FA0AAE"/>
    <w:rsid w:val="53186CFA"/>
    <w:rsid w:val="532C26FC"/>
    <w:rsid w:val="53322A76"/>
    <w:rsid w:val="53585B71"/>
    <w:rsid w:val="53664C1B"/>
    <w:rsid w:val="5367003F"/>
    <w:rsid w:val="53C54AA3"/>
    <w:rsid w:val="543E5ECB"/>
    <w:rsid w:val="544D3401"/>
    <w:rsid w:val="546C79C7"/>
    <w:rsid w:val="54732E31"/>
    <w:rsid w:val="547F5841"/>
    <w:rsid w:val="54A648D1"/>
    <w:rsid w:val="54CE4162"/>
    <w:rsid w:val="54D81A93"/>
    <w:rsid w:val="54DB29BD"/>
    <w:rsid w:val="54E44ED6"/>
    <w:rsid w:val="5529069B"/>
    <w:rsid w:val="55571991"/>
    <w:rsid w:val="55813E67"/>
    <w:rsid w:val="55833ADA"/>
    <w:rsid w:val="566931AC"/>
    <w:rsid w:val="568155BC"/>
    <w:rsid w:val="56F374FB"/>
    <w:rsid w:val="570E1063"/>
    <w:rsid w:val="575D4143"/>
    <w:rsid w:val="57613A81"/>
    <w:rsid w:val="5763406D"/>
    <w:rsid w:val="576F457F"/>
    <w:rsid w:val="579B36B6"/>
    <w:rsid w:val="58532B7C"/>
    <w:rsid w:val="58A26F1E"/>
    <w:rsid w:val="58B11480"/>
    <w:rsid w:val="58D81F5B"/>
    <w:rsid w:val="58F75D03"/>
    <w:rsid w:val="592D06A1"/>
    <w:rsid w:val="59620232"/>
    <w:rsid w:val="596D61FA"/>
    <w:rsid w:val="59886901"/>
    <w:rsid w:val="59A00F56"/>
    <w:rsid w:val="59B24039"/>
    <w:rsid w:val="59DA5A4F"/>
    <w:rsid w:val="5A31005C"/>
    <w:rsid w:val="5A637CC1"/>
    <w:rsid w:val="5A830DE0"/>
    <w:rsid w:val="5AB72D62"/>
    <w:rsid w:val="5AFE63C7"/>
    <w:rsid w:val="5B0260D0"/>
    <w:rsid w:val="5B3D7266"/>
    <w:rsid w:val="5B73223F"/>
    <w:rsid w:val="5B8764EB"/>
    <w:rsid w:val="5B8D1AC1"/>
    <w:rsid w:val="5BA3592C"/>
    <w:rsid w:val="5BAB7539"/>
    <w:rsid w:val="5BB440EE"/>
    <w:rsid w:val="5BCE0DEA"/>
    <w:rsid w:val="5C0C254C"/>
    <w:rsid w:val="5C29341A"/>
    <w:rsid w:val="5C5D2B35"/>
    <w:rsid w:val="5C610721"/>
    <w:rsid w:val="5C8B6FF1"/>
    <w:rsid w:val="5C9818A6"/>
    <w:rsid w:val="5CE63CA8"/>
    <w:rsid w:val="5CFE4143"/>
    <w:rsid w:val="5D13255A"/>
    <w:rsid w:val="5D331782"/>
    <w:rsid w:val="5D502A92"/>
    <w:rsid w:val="5D9F44EB"/>
    <w:rsid w:val="5DA23426"/>
    <w:rsid w:val="5DE54931"/>
    <w:rsid w:val="5E1F098C"/>
    <w:rsid w:val="5E204AD7"/>
    <w:rsid w:val="5E4C6102"/>
    <w:rsid w:val="5E6D4BC0"/>
    <w:rsid w:val="5E84153E"/>
    <w:rsid w:val="5EEA5BA3"/>
    <w:rsid w:val="5F3E69CE"/>
    <w:rsid w:val="5FB47C92"/>
    <w:rsid w:val="5FB9411A"/>
    <w:rsid w:val="5FD528C8"/>
    <w:rsid w:val="5FE11ED3"/>
    <w:rsid w:val="6009519E"/>
    <w:rsid w:val="60155211"/>
    <w:rsid w:val="601E1E93"/>
    <w:rsid w:val="603D2CDD"/>
    <w:rsid w:val="608E0346"/>
    <w:rsid w:val="609A61F8"/>
    <w:rsid w:val="60A041A6"/>
    <w:rsid w:val="60AD5F5F"/>
    <w:rsid w:val="60BA6304"/>
    <w:rsid w:val="60D525F3"/>
    <w:rsid w:val="60E30438"/>
    <w:rsid w:val="61127BCE"/>
    <w:rsid w:val="611E5441"/>
    <w:rsid w:val="612D3C7B"/>
    <w:rsid w:val="617C2D8F"/>
    <w:rsid w:val="61826F89"/>
    <w:rsid w:val="61D11F09"/>
    <w:rsid w:val="62135DC5"/>
    <w:rsid w:val="622A54BD"/>
    <w:rsid w:val="623E2101"/>
    <w:rsid w:val="626242CD"/>
    <w:rsid w:val="62757735"/>
    <w:rsid w:val="62852D71"/>
    <w:rsid w:val="628B64AF"/>
    <w:rsid w:val="62947A1C"/>
    <w:rsid w:val="62A109BE"/>
    <w:rsid w:val="62AC3FB8"/>
    <w:rsid w:val="62CD6DE1"/>
    <w:rsid w:val="62D135AD"/>
    <w:rsid w:val="62E70A4E"/>
    <w:rsid w:val="62FD4A9D"/>
    <w:rsid w:val="631E3D17"/>
    <w:rsid w:val="632C6FC4"/>
    <w:rsid w:val="632F46C6"/>
    <w:rsid w:val="633C129B"/>
    <w:rsid w:val="634B3FF6"/>
    <w:rsid w:val="63CE373A"/>
    <w:rsid w:val="63DA517F"/>
    <w:rsid w:val="63E80815"/>
    <w:rsid w:val="641F6EE0"/>
    <w:rsid w:val="64460ECC"/>
    <w:rsid w:val="644F5E22"/>
    <w:rsid w:val="64681DB1"/>
    <w:rsid w:val="64902A98"/>
    <w:rsid w:val="64961979"/>
    <w:rsid w:val="64D843A5"/>
    <w:rsid w:val="64E46FA4"/>
    <w:rsid w:val="65295842"/>
    <w:rsid w:val="652B7ADD"/>
    <w:rsid w:val="653E277C"/>
    <w:rsid w:val="657E520F"/>
    <w:rsid w:val="660B78BD"/>
    <w:rsid w:val="663B46C9"/>
    <w:rsid w:val="663F30CF"/>
    <w:rsid w:val="66A327A9"/>
    <w:rsid w:val="66DB09CF"/>
    <w:rsid w:val="66F93E1B"/>
    <w:rsid w:val="6728524B"/>
    <w:rsid w:val="67413BF6"/>
    <w:rsid w:val="6755359A"/>
    <w:rsid w:val="67A7418D"/>
    <w:rsid w:val="67D27C62"/>
    <w:rsid w:val="67D67A95"/>
    <w:rsid w:val="67DE7597"/>
    <w:rsid w:val="67DF6978"/>
    <w:rsid w:val="67FB1CE6"/>
    <w:rsid w:val="680F614C"/>
    <w:rsid w:val="68CC107E"/>
    <w:rsid w:val="68D102AF"/>
    <w:rsid w:val="694E04D2"/>
    <w:rsid w:val="695664EF"/>
    <w:rsid w:val="69653491"/>
    <w:rsid w:val="698044A5"/>
    <w:rsid w:val="69E66B78"/>
    <w:rsid w:val="6A510F7A"/>
    <w:rsid w:val="6A7259EE"/>
    <w:rsid w:val="6A8739D3"/>
    <w:rsid w:val="6AA67E64"/>
    <w:rsid w:val="6AF21A55"/>
    <w:rsid w:val="6B0D712F"/>
    <w:rsid w:val="6B28575B"/>
    <w:rsid w:val="6B472B04"/>
    <w:rsid w:val="6B827ED3"/>
    <w:rsid w:val="6B8B198F"/>
    <w:rsid w:val="6B993DD8"/>
    <w:rsid w:val="6BA37D8C"/>
    <w:rsid w:val="6BD66216"/>
    <w:rsid w:val="6BE4485D"/>
    <w:rsid w:val="6BFE3795"/>
    <w:rsid w:val="6C1E113E"/>
    <w:rsid w:val="6C3A1127"/>
    <w:rsid w:val="6C3B11AE"/>
    <w:rsid w:val="6C3B431E"/>
    <w:rsid w:val="6C511D45"/>
    <w:rsid w:val="6C857DA8"/>
    <w:rsid w:val="6CC1587C"/>
    <w:rsid w:val="6D266267"/>
    <w:rsid w:val="6D2B74AA"/>
    <w:rsid w:val="6D4A3A68"/>
    <w:rsid w:val="6D697BC3"/>
    <w:rsid w:val="6D7111BC"/>
    <w:rsid w:val="6D895039"/>
    <w:rsid w:val="6DCA5CB9"/>
    <w:rsid w:val="6E08583A"/>
    <w:rsid w:val="6E280F38"/>
    <w:rsid w:val="6E3010E6"/>
    <w:rsid w:val="6E406F22"/>
    <w:rsid w:val="6E5408E4"/>
    <w:rsid w:val="6E8A21F7"/>
    <w:rsid w:val="6ECB7942"/>
    <w:rsid w:val="6EFC69C0"/>
    <w:rsid w:val="6F000F0B"/>
    <w:rsid w:val="6F197436"/>
    <w:rsid w:val="6F2867BD"/>
    <w:rsid w:val="6F376285"/>
    <w:rsid w:val="6F44559B"/>
    <w:rsid w:val="6FD5303D"/>
    <w:rsid w:val="6FD976B8"/>
    <w:rsid w:val="70060EA7"/>
    <w:rsid w:val="70115BE8"/>
    <w:rsid w:val="703A2630"/>
    <w:rsid w:val="70561E49"/>
    <w:rsid w:val="709C594C"/>
    <w:rsid w:val="70BA2B7E"/>
    <w:rsid w:val="70C723A5"/>
    <w:rsid w:val="70CB669B"/>
    <w:rsid w:val="716245C4"/>
    <w:rsid w:val="718B2CD4"/>
    <w:rsid w:val="718E1170"/>
    <w:rsid w:val="71C4213D"/>
    <w:rsid w:val="71D0045B"/>
    <w:rsid w:val="71D05F49"/>
    <w:rsid w:val="71F773F9"/>
    <w:rsid w:val="720F4381"/>
    <w:rsid w:val="725E4C39"/>
    <w:rsid w:val="72C91F7A"/>
    <w:rsid w:val="72E02232"/>
    <w:rsid w:val="73090FE2"/>
    <w:rsid w:val="73265607"/>
    <w:rsid w:val="73522B35"/>
    <w:rsid w:val="7399271A"/>
    <w:rsid w:val="73B418AA"/>
    <w:rsid w:val="73EC173C"/>
    <w:rsid w:val="73F82EA2"/>
    <w:rsid w:val="7435596C"/>
    <w:rsid w:val="74722C9A"/>
    <w:rsid w:val="747E452E"/>
    <w:rsid w:val="74880357"/>
    <w:rsid w:val="749E15DE"/>
    <w:rsid w:val="74A647DF"/>
    <w:rsid w:val="74A91F47"/>
    <w:rsid w:val="74D91075"/>
    <w:rsid w:val="74DC2BE0"/>
    <w:rsid w:val="74E82CC1"/>
    <w:rsid w:val="74FA5A4A"/>
    <w:rsid w:val="751A36A3"/>
    <w:rsid w:val="75321608"/>
    <w:rsid w:val="75330480"/>
    <w:rsid w:val="754B57C9"/>
    <w:rsid w:val="755F161D"/>
    <w:rsid w:val="75884210"/>
    <w:rsid w:val="75BD4A84"/>
    <w:rsid w:val="75EA7003"/>
    <w:rsid w:val="75F669BB"/>
    <w:rsid w:val="760D56E2"/>
    <w:rsid w:val="76342671"/>
    <w:rsid w:val="76EE218C"/>
    <w:rsid w:val="771614C5"/>
    <w:rsid w:val="772A411D"/>
    <w:rsid w:val="772E0B03"/>
    <w:rsid w:val="773C532B"/>
    <w:rsid w:val="773F5765"/>
    <w:rsid w:val="77642276"/>
    <w:rsid w:val="778A542A"/>
    <w:rsid w:val="77C177F8"/>
    <w:rsid w:val="77D20625"/>
    <w:rsid w:val="77DB3F30"/>
    <w:rsid w:val="77EF5E51"/>
    <w:rsid w:val="78114B94"/>
    <w:rsid w:val="788F1E71"/>
    <w:rsid w:val="789A3CEC"/>
    <w:rsid w:val="78AF6BF5"/>
    <w:rsid w:val="78B94C17"/>
    <w:rsid w:val="78BF6D54"/>
    <w:rsid w:val="79251491"/>
    <w:rsid w:val="79267717"/>
    <w:rsid w:val="79332F0B"/>
    <w:rsid w:val="796923D7"/>
    <w:rsid w:val="797E2B85"/>
    <w:rsid w:val="79C11BD2"/>
    <w:rsid w:val="79E76B50"/>
    <w:rsid w:val="79E8078D"/>
    <w:rsid w:val="7A3422EE"/>
    <w:rsid w:val="7A4774F3"/>
    <w:rsid w:val="7A5955C8"/>
    <w:rsid w:val="7A695006"/>
    <w:rsid w:val="7A915587"/>
    <w:rsid w:val="7AA678C6"/>
    <w:rsid w:val="7B016CDB"/>
    <w:rsid w:val="7B113087"/>
    <w:rsid w:val="7B230F9F"/>
    <w:rsid w:val="7B23609A"/>
    <w:rsid w:val="7B390471"/>
    <w:rsid w:val="7B5441DD"/>
    <w:rsid w:val="7B9D3F28"/>
    <w:rsid w:val="7B9E2E7D"/>
    <w:rsid w:val="7BA5186C"/>
    <w:rsid w:val="7BB92BA6"/>
    <w:rsid w:val="7BBB5D60"/>
    <w:rsid w:val="7BEA35A6"/>
    <w:rsid w:val="7C001572"/>
    <w:rsid w:val="7C050B07"/>
    <w:rsid w:val="7C1820F4"/>
    <w:rsid w:val="7C1C3339"/>
    <w:rsid w:val="7C754F16"/>
    <w:rsid w:val="7C9E18CE"/>
    <w:rsid w:val="7C9E7A01"/>
    <w:rsid w:val="7D1A2932"/>
    <w:rsid w:val="7D1F3748"/>
    <w:rsid w:val="7D2E186E"/>
    <w:rsid w:val="7D8F4D8B"/>
    <w:rsid w:val="7D972C8E"/>
    <w:rsid w:val="7DBA4407"/>
    <w:rsid w:val="7DCC2180"/>
    <w:rsid w:val="7DD14D63"/>
    <w:rsid w:val="7DE9671E"/>
    <w:rsid w:val="7DF734D3"/>
    <w:rsid w:val="7E04089A"/>
    <w:rsid w:val="7E0773D0"/>
    <w:rsid w:val="7E256583"/>
    <w:rsid w:val="7E367A91"/>
    <w:rsid w:val="7E5D66DD"/>
    <w:rsid w:val="7E734104"/>
    <w:rsid w:val="7E7C3173"/>
    <w:rsid w:val="7E926C7F"/>
    <w:rsid w:val="7EE00201"/>
    <w:rsid w:val="7EE628C5"/>
    <w:rsid w:val="7EED3DCE"/>
    <w:rsid w:val="7EEE5FCC"/>
    <w:rsid w:val="7F1D0C6A"/>
    <w:rsid w:val="7F2E279D"/>
    <w:rsid w:val="7F60044C"/>
    <w:rsid w:val="7F6848DF"/>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character" w:customStyle="1" w:styleId="116">
    <w:name w:val="WW8Num1z0"/>
    <w:qFormat/>
    <w:uiPriority w:val="0"/>
  </w:style>
  <w:style w:type="character" w:customStyle="1" w:styleId="117">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2025-03-28T06:25:30Z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2C0DA253CB7F43719EFF0172F2CC687B</vt:lpwstr>
  </property>
</Properties>
</file>